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C8E8" w14:textId="43DCE864" w:rsidR="004770EE" w:rsidRPr="004770EE" w:rsidRDefault="004770EE" w:rsidP="004770EE">
      <w:pPr>
        <w:pStyle w:val="Title"/>
      </w:pPr>
      <w:r w:rsidRPr="004770EE">
        <w:t xml:space="preserve">TUDOR ALLOTMENT ASSOCIATION </w:t>
      </w:r>
      <w:r w:rsidR="00E65A93">
        <w:t xml:space="preserve">– MINUTES  </w:t>
      </w:r>
    </w:p>
    <w:p w14:paraId="454A4A3B" w14:textId="19B19285" w:rsidR="00546497" w:rsidRPr="009D1769" w:rsidRDefault="00FD4A9F" w:rsidP="00FB13C5">
      <w:pPr>
        <w:jc w:val="center"/>
        <w:rPr>
          <w:b/>
        </w:rPr>
      </w:pPr>
      <w:r>
        <w:rPr>
          <w:b/>
          <w:lang w:val="en-US"/>
        </w:rPr>
        <w:t>4:30</w:t>
      </w:r>
      <w:r w:rsidR="00C3405A">
        <w:rPr>
          <w:b/>
          <w:lang w:val="en-US"/>
        </w:rPr>
        <w:t xml:space="preserve">pm </w:t>
      </w:r>
      <w:r>
        <w:rPr>
          <w:b/>
          <w:lang w:val="en-US"/>
        </w:rPr>
        <w:t>Tuesday 26</w:t>
      </w:r>
      <w:r w:rsidRPr="00FD4A9F">
        <w:rPr>
          <w:b/>
          <w:vertAlign w:val="superscript"/>
          <w:lang w:val="en-US"/>
        </w:rPr>
        <w:t>th</w:t>
      </w:r>
      <w:r>
        <w:rPr>
          <w:b/>
          <w:lang w:val="en-US"/>
        </w:rPr>
        <w:t xml:space="preserve"> March</w:t>
      </w:r>
      <w:r w:rsidR="001547F1" w:rsidRPr="001547F1">
        <w:rPr>
          <w:b/>
          <w:lang w:val="en-US"/>
        </w:rPr>
        <w:t xml:space="preserve"> </w:t>
      </w:r>
      <w:r>
        <w:rPr>
          <w:b/>
          <w:lang w:val="en-US"/>
        </w:rPr>
        <w:t xml:space="preserve">at </w:t>
      </w:r>
      <w:r w:rsidRPr="00002ADC">
        <w:rPr>
          <w:b/>
          <w:lang w:val="en-US"/>
        </w:rPr>
        <w:t>35 Queens Road</w:t>
      </w:r>
      <w:r>
        <w:rPr>
          <w:b/>
        </w:rPr>
        <w:t>, Kingston upon Thames</w:t>
      </w:r>
    </w:p>
    <w:p w14:paraId="31C11532" w14:textId="77777777" w:rsidR="004770EE" w:rsidRPr="004770EE" w:rsidRDefault="004770EE" w:rsidP="004770EE">
      <w:pPr>
        <w:rPr>
          <w:b/>
          <w:lang w:val="en-US"/>
        </w:rPr>
      </w:pPr>
    </w:p>
    <w:tbl>
      <w:tblPr>
        <w:tblStyle w:val="TableGrid"/>
        <w:tblW w:w="9781" w:type="dxa"/>
        <w:tblInd w:w="-5" w:type="dxa"/>
        <w:tblLook w:val="04A0" w:firstRow="1" w:lastRow="0" w:firstColumn="1" w:lastColumn="0" w:noHBand="0" w:noVBand="1"/>
      </w:tblPr>
      <w:tblGrid>
        <w:gridCol w:w="7938"/>
        <w:gridCol w:w="1843"/>
      </w:tblGrid>
      <w:tr w:rsidR="00E65A93" w:rsidRPr="00E65A93" w14:paraId="45DB9FB5" w14:textId="77777777" w:rsidTr="00E65A93">
        <w:tc>
          <w:tcPr>
            <w:tcW w:w="7938" w:type="dxa"/>
          </w:tcPr>
          <w:p w14:paraId="2E557561" w14:textId="73FEDAC4" w:rsidR="00E65A93" w:rsidRPr="00E65A93" w:rsidRDefault="00E65A93" w:rsidP="00E65A93">
            <w:pPr>
              <w:rPr>
                <w:b/>
                <w:lang w:val="en-US"/>
              </w:rPr>
            </w:pPr>
            <w:r>
              <w:rPr>
                <w:b/>
                <w:lang w:val="en-US"/>
              </w:rPr>
              <w:t>ITEM</w:t>
            </w:r>
          </w:p>
        </w:tc>
        <w:tc>
          <w:tcPr>
            <w:tcW w:w="1843" w:type="dxa"/>
          </w:tcPr>
          <w:p w14:paraId="1F84D492" w14:textId="2C4865E8" w:rsidR="00E65A93" w:rsidRPr="00E65A93" w:rsidRDefault="00E65A93" w:rsidP="00E65A93">
            <w:pPr>
              <w:rPr>
                <w:b/>
                <w:lang w:val="en-US"/>
              </w:rPr>
            </w:pPr>
            <w:r>
              <w:rPr>
                <w:b/>
                <w:lang w:val="en-US"/>
              </w:rPr>
              <w:t>ACTIONS</w:t>
            </w:r>
          </w:p>
        </w:tc>
      </w:tr>
      <w:tr w:rsidR="00E65A93" w:rsidRPr="00E65A93" w14:paraId="37485791" w14:textId="12D51419" w:rsidTr="00E65A93">
        <w:tc>
          <w:tcPr>
            <w:tcW w:w="7938" w:type="dxa"/>
          </w:tcPr>
          <w:p w14:paraId="6B9ED3A2" w14:textId="6C6052A5" w:rsidR="00E65A93" w:rsidRPr="00E65A93" w:rsidRDefault="00E65A93" w:rsidP="00E65A93">
            <w:pPr>
              <w:rPr>
                <w:b/>
                <w:lang w:val="en-US"/>
              </w:rPr>
            </w:pPr>
            <w:r>
              <w:rPr>
                <w:b/>
                <w:lang w:val="en-US"/>
              </w:rPr>
              <w:t xml:space="preserve">1. </w:t>
            </w:r>
            <w:r w:rsidRPr="00E65A93">
              <w:rPr>
                <w:b/>
                <w:lang w:val="en-US"/>
              </w:rPr>
              <w:t>Those attending and apologies</w:t>
            </w:r>
            <w:r w:rsidRPr="00E65A93">
              <w:rPr>
                <w:b/>
                <w:lang w:val="en-US"/>
              </w:rPr>
              <w:br/>
            </w:r>
            <w:r w:rsidRPr="00E65A93">
              <w:rPr>
                <w:lang w:val="en-US"/>
              </w:rPr>
              <w:t>Present were Paul Hay (PH) Lynn Boyd (LB), Peter Brown (PB), Jim Turner (JT), Julia Cork (JC), Richard Post (RP), Jonny Hoare (JH) and Nathalie Ashbee (NA). Chris Ridout (CR) was unable to attend.</w:t>
            </w:r>
          </w:p>
          <w:p w14:paraId="4DC5C5F6" w14:textId="57C9967B" w:rsidR="00E65A93" w:rsidRPr="00E65A93" w:rsidRDefault="00E65A93" w:rsidP="00E65A93">
            <w:pPr>
              <w:pStyle w:val="ListParagraph"/>
              <w:ind w:left="298"/>
              <w:rPr>
                <w:b/>
                <w:lang w:val="en-US"/>
              </w:rPr>
            </w:pPr>
          </w:p>
        </w:tc>
        <w:tc>
          <w:tcPr>
            <w:tcW w:w="1843" w:type="dxa"/>
          </w:tcPr>
          <w:p w14:paraId="6985162D" w14:textId="77777777" w:rsidR="00E65A93" w:rsidRPr="00E65A93" w:rsidRDefault="00E65A93" w:rsidP="007A34C7">
            <w:pPr>
              <w:rPr>
                <w:b/>
                <w:lang w:val="en-US"/>
              </w:rPr>
            </w:pPr>
          </w:p>
        </w:tc>
      </w:tr>
      <w:tr w:rsidR="00E65A93" w:rsidRPr="00E65A93" w14:paraId="51D22B13" w14:textId="31B09ECE" w:rsidTr="00E65A93">
        <w:trPr>
          <w:trHeight w:val="328"/>
        </w:trPr>
        <w:tc>
          <w:tcPr>
            <w:tcW w:w="7938" w:type="dxa"/>
          </w:tcPr>
          <w:p w14:paraId="7E6AD327" w14:textId="4B53A1F2" w:rsidR="00E65A93" w:rsidRDefault="00E65A93" w:rsidP="00E65A93">
            <w:pPr>
              <w:rPr>
                <w:b/>
                <w:lang w:val="en-US"/>
              </w:rPr>
            </w:pPr>
            <w:r>
              <w:rPr>
                <w:b/>
                <w:lang w:val="en-US"/>
              </w:rPr>
              <w:t xml:space="preserve">2. </w:t>
            </w:r>
            <w:r w:rsidRPr="00E65A93">
              <w:rPr>
                <w:b/>
                <w:lang w:val="en-US"/>
              </w:rPr>
              <w:t>Minutes of meeting of 2</w:t>
            </w:r>
            <w:r w:rsidRPr="00E65A93">
              <w:rPr>
                <w:b/>
                <w:vertAlign w:val="superscript"/>
                <w:lang w:val="en-US"/>
              </w:rPr>
              <w:t>nd</w:t>
            </w:r>
            <w:r w:rsidRPr="00E65A93">
              <w:rPr>
                <w:b/>
                <w:lang w:val="en-US"/>
              </w:rPr>
              <w:t xml:space="preserve"> October 2023 and matters arising (not dealt with below)</w:t>
            </w:r>
          </w:p>
          <w:p w14:paraId="62789236" w14:textId="7CDA9B56" w:rsidR="00E65A93" w:rsidRPr="00E65A93" w:rsidRDefault="00797890" w:rsidP="00E65A93">
            <w:pPr>
              <w:rPr>
                <w:bCs/>
                <w:lang w:val="en-US"/>
              </w:rPr>
            </w:pPr>
            <w:r>
              <w:rPr>
                <w:bCs/>
                <w:lang w:val="en-US"/>
              </w:rPr>
              <w:t xml:space="preserve">The minutes of the last meeting we accepted as an accurate record. Matters arising dealt with below.            </w:t>
            </w:r>
          </w:p>
          <w:p w14:paraId="6D543069" w14:textId="63338AE8" w:rsidR="00E65A93" w:rsidRPr="00E65A93" w:rsidRDefault="00E65A93" w:rsidP="00E65A93">
            <w:pPr>
              <w:rPr>
                <w:b/>
                <w:lang w:val="en-US"/>
              </w:rPr>
            </w:pPr>
          </w:p>
        </w:tc>
        <w:tc>
          <w:tcPr>
            <w:tcW w:w="1843" w:type="dxa"/>
          </w:tcPr>
          <w:p w14:paraId="3FCD79FD" w14:textId="77777777" w:rsidR="00E65A93" w:rsidRPr="00E65A93" w:rsidRDefault="00E65A93" w:rsidP="007A34C7">
            <w:pPr>
              <w:rPr>
                <w:b/>
                <w:lang w:val="en-US"/>
              </w:rPr>
            </w:pPr>
          </w:p>
        </w:tc>
      </w:tr>
      <w:tr w:rsidR="00797890" w:rsidRPr="00E65A93" w14:paraId="3F56CB5A" w14:textId="48CDB1DB" w:rsidTr="00E65A93">
        <w:tc>
          <w:tcPr>
            <w:tcW w:w="7938" w:type="dxa"/>
          </w:tcPr>
          <w:p w14:paraId="0C070E98" w14:textId="77777777" w:rsidR="00797890" w:rsidRDefault="00797890" w:rsidP="00797890">
            <w:pPr>
              <w:rPr>
                <w:b/>
                <w:lang w:val="en-US"/>
              </w:rPr>
            </w:pPr>
            <w:r>
              <w:rPr>
                <w:b/>
                <w:lang w:val="en-US"/>
              </w:rPr>
              <w:t xml:space="preserve">3. </w:t>
            </w:r>
            <w:r w:rsidRPr="00797890">
              <w:rPr>
                <w:b/>
                <w:lang w:val="en-US"/>
              </w:rPr>
              <w:t>Treasurer’s report</w:t>
            </w:r>
          </w:p>
          <w:p w14:paraId="29FA1C47" w14:textId="77777777" w:rsidR="00797890" w:rsidRDefault="00797890" w:rsidP="00797890">
            <w:pPr>
              <w:rPr>
                <w:bCs/>
                <w:lang w:val="en-US"/>
              </w:rPr>
            </w:pPr>
            <w:r>
              <w:rPr>
                <w:bCs/>
                <w:lang w:val="en-US"/>
              </w:rPr>
              <w:t>LB distributed a Financial Report to December 2023 (see appendix) and projected that we would have a surplus for maintenance of £1,800 for 2024, after considering increased water costs. This would not be enough to cover proposed maintenance for both sites.</w:t>
            </w:r>
          </w:p>
          <w:p w14:paraId="33C67231" w14:textId="77777777" w:rsidR="00797890" w:rsidRDefault="00797890" w:rsidP="00797890">
            <w:pPr>
              <w:rPr>
                <w:bCs/>
                <w:lang w:val="en-US"/>
              </w:rPr>
            </w:pPr>
            <w:r>
              <w:rPr>
                <w:bCs/>
                <w:lang w:val="en-US"/>
              </w:rPr>
              <w:t>PH proposed that we could dip into current maintenance reserves of some £22,000.</w:t>
            </w:r>
          </w:p>
          <w:p w14:paraId="5A681AB7" w14:textId="77777777" w:rsidR="00797890" w:rsidRDefault="00797890" w:rsidP="00797890">
            <w:pPr>
              <w:rPr>
                <w:bCs/>
                <w:lang w:val="en-US"/>
              </w:rPr>
            </w:pPr>
            <w:r>
              <w:rPr>
                <w:bCs/>
                <w:lang w:val="en-US"/>
              </w:rPr>
              <w:t>PB asked if we should agree a minimum amount to keep as a reserve, but there was no agreement on a suitable figure.</w:t>
            </w:r>
          </w:p>
          <w:p w14:paraId="7E67D12C" w14:textId="699B7343" w:rsidR="007A34C7" w:rsidRDefault="007A34C7" w:rsidP="00797890">
            <w:pPr>
              <w:rPr>
                <w:bCs/>
                <w:lang w:val="en-US"/>
              </w:rPr>
            </w:pPr>
            <w:r>
              <w:rPr>
                <w:bCs/>
                <w:lang w:val="en-US"/>
              </w:rPr>
              <w:t>In response to a query from a former plot holder, JT asked what should be done if someone decided to leave early in the year, having paid a full year’s rent. The committee decided it was not practice to return individual amounts, and that this was balanced by, for example</w:t>
            </w:r>
            <w:r w:rsidR="00FE0E12">
              <w:rPr>
                <w:bCs/>
                <w:lang w:val="en-US"/>
              </w:rPr>
              <w:t>,</w:t>
            </w:r>
            <w:r>
              <w:rPr>
                <w:bCs/>
                <w:lang w:val="en-US"/>
              </w:rPr>
              <w:t xml:space="preserve"> some plot holders not paying rent when they joined late in the year.</w:t>
            </w:r>
          </w:p>
          <w:p w14:paraId="06CB465B" w14:textId="7A35D636" w:rsidR="007A34C7" w:rsidRPr="00797890" w:rsidRDefault="007A34C7" w:rsidP="00797890">
            <w:pPr>
              <w:rPr>
                <w:bCs/>
                <w:lang w:val="en-US"/>
              </w:rPr>
            </w:pPr>
          </w:p>
        </w:tc>
        <w:tc>
          <w:tcPr>
            <w:tcW w:w="1843" w:type="dxa"/>
          </w:tcPr>
          <w:p w14:paraId="223DF209" w14:textId="77777777" w:rsidR="00797890" w:rsidRDefault="00797890" w:rsidP="007A34C7">
            <w:pPr>
              <w:rPr>
                <w:b/>
                <w:lang w:val="en-US"/>
              </w:rPr>
            </w:pPr>
          </w:p>
          <w:p w14:paraId="369CF268" w14:textId="77777777" w:rsidR="002B6C41" w:rsidRDefault="002B6C41" w:rsidP="007A34C7">
            <w:pPr>
              <w:rPr>
                <w:b/>
                <w:lang w:val="en-US"/>
              </w:rPr>
            </w:pPr>
          </w:p>
          <w:p w14:paraId="7895346D" w14:textId="77777777" w:rsidR="002B6C41" w:rsidRDefault="002B6C41" w:rsidP="007A34C7">
            <w:pPr>
              <w:rPr>
                <w:b/>
                <w:lang w:val="en-US"/>
              </w:rPr>
            </w:pPr>
          </w:p>
          <w:p w14:paraId="6D913AF2" w14:textId="77777777" w:rsidR="002B6C41" w:rsidRDefault="002B6C41" w:rsidP="007A34C7">
            <w:pPr>
              <w:rPr>
                <w:b/>
                <w:lang w:val="en-US"/>
              </w:rPr>
            </w:pPr>
          </w:p>
          <w:p w14:paraId="51632929" w14:textId="77777777" w:rsidR="002B6C41" w:rsidRDefault="002B6C41" w:rsidP="007A34C7">
            <w:pPr>
              <w:rPr>
                <w:b/>
                <w:lang w:val="en-US"/>
              </w:rPr>
            </w:pPr>
          </w:p>
          <w:p w14:paraId="745C868E" w14:textId="77777777" w:rsidR="002B6C41" w:rsidRDefault="002B6C41" w:rsidP="007A34C7">
            <w:pPr>
              <w:rPr>
                <w:b/>
                <w:lang w:val="en-US"/>
              </w:rPr>
            </w:pPr>
          </w:p>
          <w:p w14:paraId="306BF2C6" w14:textId="77777777" w:rsidR="002B6C41" w:rsidRDefault="002B6C41" w:rsidP="007A34C7">
            <w:pPr>
              <w:rPr>
                <w:b/>
                <w:lang w:val="en-US"/>
              </w:rPr>
            </w:pPr>
          </w:p>
          <w:p w14:paraId="56B24DAF" w14:textId="07FCBB4F" w:rsidR="002B6C41" w:rsidRPr="00E65A93" w:rsidRDefault="002B6C41" w:rsidP="007A34C7">
            <w:pPr>
              <w:rPr>
                <w:b/>
                <w:lang w:val="en-US"/>
              </w:rPr>
            </w:pPr>
          </w:p>
        </w:tc>
      </w:tr>
      <w:tr w:rsidR="007A34C7" w:rsidRPr="00E65A93" w14:paraId="224CA57E" w14:textId="115B04B3" w:rsidTr="00E65A93">
        <w:tc>
          <w:tcPr>
            <w:tcW w:w="7938" w:type="dxa"/>
          </w:tcPr>
          <w:p w14:paraId="4C9424A0" w14:textId="77777777" w:rsidR="007A34C7" w:rsidRDefault="007A34C7" w:rsidP="00E65A93">
            <w:pPr>
              <w:ind w:left="298" w:hanging="298"/>
              <w:rPr>
                <w:b/>
              </w:rPr>
            </w:pPr>
            <w:r>
              <w:rPr>
                <w:b/>
              </w:rPr>
              <w:t xml:space="preserve">4. </w:t>
            </w:r>
            <w:r w:rsidRPr="00E65A93">
              <w:rPr>
                <w:b/>
              </w:rPr>
              <w:t>Proposed expenditure</w:t>
            </w:r>
          </w:p>
          <w:p w14:paraId="7FB10DB8" w14:textId="77777777" w:rsidR="007A34C7" w:rsidRDefault="007A34C7" w:rsidP="00E65A93">
            <w:pPr>
              <w:ind w:left="298" w:hanging="298"/>
              <w:rPr>
                <w:b/>
              </w:rPr>
            </w:pPr>
            <w:r>
              <w:rPr>
                <w:b/>
              </w:rPr>
              <w:t>Wolsey Drive</w:t>
            </w:r>
          </w:p>
          <w:p w14:paraId="700B543D" w14:textId="6679DE4A" w:rsidR="007A34C7" w:rsidRDefault="007A34C7" w:rsidP="007A34C7">
            <w:pPr>
              <w:rPr>
                <w:bCs/>
              </w:rPr>
            </w:pPr>
            <w:r>
              <w:rPr>
                <w:bCs/>
              </w:rPr>
              <w:t>PH had prepared a list of proposed expenditure for the year (see appendix). There was broad agreement to this, but some concern as to the number of skips required and the cost of signage.</w:t>
            </w:r>
          </w:p>
          <w:p w14:paraId="6C51B717" w14:textId="525AF3BF" w:rsidR="007A34C7" w:rsidRDefault="007A34C7" w:rsidP="007A34C7">
            <w:pPr>
              <w:ind w:left="34" w:hanging="34"/>
              <w:rPr>
                <w:bCs/>
              </w:rPr>
            </w:pPr>
            <w:r>
              <w:rPr>
                <w:bCs/>
              </w:rPr>
              <w:t>Security lights could potentially be a nuisance to neighbouring houses and triggered by passing animals. PH proposed an initial purchase of one to try out and this was agreed.</w:t>
            </w:r>
          </w:p>
          <w:p w14:paraId="17927A5A" w14:textId="77777777" w:rsidR="007A34C7" w:rsidRDefault="007A34C7" w:rsidP="002B6C41">
            <w:pPr>
              <w:rPr>
                <w:bCs/>
              </w:rPr>
            </w:pPr>
          </w:p>
          <w:p w14:paraId="4D0F9387" w14:textId="77777777" w:rsidR="00FE0E12" w:rsidRDefault="00FE0E12" w:rsidP="007A34C7">
            <w:pPr>
              <w:rPr>
                <w:b/>
              </w:rPr>
            </w:pPr>
          </w:p>
          <w:p w14:paraId="4DE1B216" w14:textId="279CFFD7" w:rsidR="007A34C7" w:rsidRDefault="007A34C7" w:rsidP="007A34C7">
            <w:pPr>
              <w:rPr>
                <w:b/>
              </w:rPr>
            </w:pPr>
            <w:r>
              <w:rPr>
                <w:b/>
              </w:rPr>
              <w:t>Park Road</w:t>
            </w:r>
          </w:p>
          <w:p w14:paraId="4207251B" w14:textId="70D2EFD3" w:rsidR="007A34C7" w:rsidRDefault="007A34C7" w:rsidP="007A34C7">
            <w:pPr>
              <w:rPr>
                <w:bCs/>
                <w:lang w:val="en-US"/>
              </w:rPr>
            </w:pPr>
            <w:r>
              <w:rPr>
                <w:bCs/>
                <w:lang w:val="en-US"/>
              </w:rPr>
              <w:t>JT and JH had considered getting new dipping tanks and water butts for the tool sheds. There was also a</w:t>
            </w:r>
            <w:r w:rsidR="002B6C41">
              <w:rPr>
                <w:bCs/>
                <w:lang w:val="en-US"/>
              </w:rPr>
              <w:t xml:space="preserve"> suggestion to renew the signage on the entrance gate.</w:t>
            </w:r>
          </w:p>
          <w:p w14:paraId="0C5DB8E4" w14:textId="77777777" w:rsidR="007A34C7" w:rsidRDefault="007A34C7" w:rsidP="007A34C7">
            <w:pPr>
              <w:rPr>
                <w:bCs/>
                <w:lang w:val="en-US"/>
              </w:rPr>
            </w:pPr>
            <w:r>
              <w:rPr>
                <w:bCs/>
                <w:lang w:val="en-US"/>
              </w:rPr>
              <w:t>PB suggested that a single skip could be hired to assess usage by plot holders.</w:t>
            </w:r>
          </w:p>
          <w:p w14:paraId="17CA801C" w14:textId="77777777" w:rsidR="002B6C41" w:rsidRDefault="002B6C41" w:rsidP="007A34C7">
            <w:pPr>
              <w:rPr>
                <w:bCs/>
                <w:lang w:val="en-US"/>
              </w:rPr>
            </w:pPr>
          </w:p>
          <w:p w14:paraId="7FC421AB" w14:textId="3F1EB31F" w:rsidR="002B6C41" w:rsidRPr="007A34C7" w:rsidRDefault="002B6C41" w:rsidP="007A34C7">
            <w:pPr>
              <w:rPr>
                <w:bCs/>
                <w:lang w:val="en-US"/>
              </w:rPr>
            </w:pPr>
          </w:p>
        </w:tc>
        <w:tc>
          <w:tcPr>
            <w:tcW w:w="1843" w:type="dxa"/>
          </w:tcPr>
          <w:p w14:paraId="5C483764" w14:textId="77777777" w:rsidR="007A34C7" w:rsidRDefault="007A34C7" w:rsidP="007A34C7">
            <w:pPr>
              <w:rPr>
                <w:b/>
                <w:lang w:val="en-US"/>
              </w:rPr>
            </w:pPr>
          </w:p>
          <w:p w14:paraId="680DC494" w14:textId="77777777" w:rsidR="007A34C7" w:rsidRDefault="007A34C7" w:rsidP="007A34C7">
            <w:pPr>
              <w:rPr>
                <w:b/>
                <w:lang w:val="en-US"/>
              </w:rPr>
            </w:pPr>
          </w:p>
          <w:p w14:paraId="4652CDFA" w14:textId="77777777" w:rsidR="007A34C7" w:rsidRDefault="007A34C7" w:rsidP="007A34C7">
            <w:pPr>
              <w:rPr>
                <w:b/>
                <w:lang w:val="en-US"/>
              </w:rPr>
            </w:pPr>
          </w:p>
          <w:p w14:paraId="3D6A43EF" w14:textId="77777777" w:rsidR="007A34C7" w:rsidRDefault="007A34C7" w:rsidP="007A34C7">
            <w:pPr>
              <w:rPr>
                <w:b/>
                <w:lang w:val="en-US"/>
              </w:rPr>
            </w:pPr>
          </w:p>
          <w:p w14:paraId="2B52CD01" w14:textId="6F624279" w:rsidR="007A34C7" w:rsidRDefault="007A34C7" w:rsidP="007A34C7">
            <w:pPr>
              <w:rPr>
                <w:b/>
                <w:lang w:val="en-US"/>
              </w:rPr>
            </w:pPr>
            <w:r>
              <w:rPr>
                <w:b/>
                <w:lang w:val="en-US"/>
              </w:rPr>
              <w:t>PH/NA to investigate cost of signage</w:t>
            </w:r>
            <w:r w:rsidR="00FE0E12">
              <w:rPr>
                <w:b/>
                <w:lang w:val="en-US"/>
              </w:rPr>
              <w:t xml:space="preserve"> and report back to committee</w:t>
            </w:r>
          </w:p>
          <w:p w14:paraId="75437BE6" w14:textId="77777777" w:rsidR="007A34C7" w:rsidRDefault="007A34C7" w:rsidP="007A34C7">
            <w:pPr>
              <w:rPr>
                <w:b/>
                <w:lang w:val="en-US"/>
              </w:rPr>
            </w:pPr>
          </w:p>
          <w:p w14:paraId="253CF35D" w14:textId="219C049A" w:rsidR="007A34C7" w:rsidRPr="00E65A93" w:rsidRDefault="007A34C7" w:rsidP="007A34C7">
            <w:pPr>
              <w:rPr>
                <w:b/>
                <w:lang w:val="en-US"/>
              </w:rPr>
            </w:pPr>
            <w:r>
              <w:rPr>
                <w:b/>
                <w:lang w:val="en-US"/>
              </w:rPr>
              <w:t>JT to obtain estimate of costs for tanks and butts</w:t>
            </w:r>
          </w:p>
        </w:tc>
      </w:tr>
      <w:tr w:rsidR="007A34C7" w:rsidRPr="00E65A93" w14:paraId="480A7020" w14:textId="2E5104F0" w:rsidTr="00E65A93">
        <w:tc>
          <w:tcPr>
            <w:tcW w:w="7938" w:type="dxa"/>
          </w:tcPr>
          <w:p w14:paraId="6C3E0009" w14:textId="374200F6" w:rsidR="007A34C7" w:rsidRDefault="002B6C41" w:rsidP="002B6C41">
            <w:pPr>
              <w:rPr>
                <w:b/>
                <w:lang w:val="en-US"/>
              </w:rPr>
            </w:pPr>
            <w:r>
              <w:rPr>
                <w:b/>
                <w:lang w:val="en-US"/>
              </w:rPr>
              <w:lastRenderedPageBreak/>
              <w:t xml:space="preserve">5. </w:t>
            </w:r>
            <w:r w:rsidRPr="002B6C41">
              <w:rPr>
                <w:b/>
                <w:lang w:val="en-US"/>
              </w:rPr>
              <w:t>Management of the Waiting List</w:t>
            </w:r>
          </w:p>
          <w:p w14:paraId="13EC04A2" w14:textId="77777777" w:rsidR="002B6C41" w:rsidRDefault="002B6C41" w:rsidP="002B6C41">
            <w:pPr>
              <w:rPr>
                <w:bCs/>
                <w:lang w:val="en-US"/>
              </w:rPr>
            </w:pPr>
            <w:r>
              <w:rPr>
                <w:bCs/>
                <w:lang w:val="en-US"/>
              </w:rPr>
              <w:t xml:space="preserve">PH asked for clarification of what happened when those on the waiting list were offered a plot but did not take it. JT explained that if there was a valid reason for not being able to take up a plot as this time, they were moved to a holding list and asked to notify the site supervisors when they were in a position to proceed. </w:t>
            </w:r>
          </w:p>
          <w:p w14:paraId="133C33EF" w14:textId="77777777" w:rsidR="002B6C41" w:rsidRDefault="002B6C41" w:rsidP="002B6C41">
            <w:pPr>
              <w:rPr>
                <w:bCs/>
                <w:lang w:val="en-US"/>
              </w:rPr>
            </w:pPr>
            <w:r>
              <w:rPr>
                <w:bCs/>
                <w:lang w:val="en-US"/>
              </w:rPr>
              <w:t>The committee agreed that this was a satisfactory way to manage the list.</w:t>
            </w:r>
          </w:p>
          <w:p w14:paraId="71759CBA" w14:textId="00E60436" w:rsidR="002B6C41" w:rsidRPr="002B6C41" w:rsidRDefault="002B6C41" w:rsidP="002B6C41">
            <w:pPr>
              <w:rPr>
                <w:bCs/>
                <w:lang w:val="en-US"/>
              </w:rPr>
            </w:pPr>
          </w:p>
        </w:tc>
        <w:tc>
          <w:tcPr>
            <w:tcW w:w="1843" w:type="dxa"/>
          </w:tcPr>
          <w:p w14:paraId="6138338E" w14:textId="77777777" w:rsidR="007A34C7" w:rsidRPr="00E65A93" w:rsidRDefault="007A34C7" w:rsidP="007A34C7">
            <w:pPr>
              <w:rPr>
                <w:b/>
                <w:lang w:val="en-US"/>
              </w:rPr>
            </w:pPr>
          </w:p>
        </w:tc>
      </w:tr>
      <w:tr w:rsidR="002B6C41" w:rsidRPr="00E65A93" w14:paraId="628E976B" w14:textId="441EAF2B" w:rsidTr="00E65A93">
        <w:tc>
          <w:tcPr>
            <w:tcW w:w="7938" w:type="dxa"/>
          </w:tcPr>
          <w:p w14:paraId="765A5F48" w14:textId="77777777" w:rsidR="002B6C41" w:rsidRDefault="002B6C41" w:rsidP="00E65A93">
            <w:pPr>
              <w:pStyle w:val="ListParagraph"/>
              <w:ind w:left="298" w:hanging="298"/>
              <w:rPr>
                <w:b/>
                <w:lang w:val="en-US"/>
              </w:rPr>
            </w:pPr>
            <w:r>
              <w:rPr>
                <w:b/>
                <w:lang w:val="en-US"/>
              </w:rPr>
              <w:t>Site specifics</w:t>
            </w:r>
          </w:p>
          <w:p w14:paraId="20CBDB0F" w14:textId="77777777" w:rsidR="002B6C41" w:rsidRDefault="002B6C41" w:rsidP="00E65A93">
            <w:pPr>
              <w:pStyle w:val="ListParagraph"/>
              <w:ind w:left="298" w:hanging="298"/>
              <w:rPr>
                <w:bCs/>
                <w:lang w:val="en-US"/>
              </w:rPr>
            </w:pPr>
            <w:r>
              <w:rPr>
                <w:bCs/>
                <w:lang w:val="en-US"/>
              </w:rPr>
              <w:t>Largely covered above.</w:t>
            </w:r>
          </w:p>
          <w:p w14:paraId="0263B74B" w14:textId="77777777" w:rsidR="002B6C41" w:rsidRDefault="002B6C41" w:rsidP="00E65A93">
            <w:pPr>
              <w:pStyle w:val="ListParagraph"/>
              <w:ind w:left="298" w:hanging="298"/>
              <w:rPr>
                <w:b/>
                <w:lang w:val="en-US"/>
              </w:rPr>
            </w:pPr>
            <w:r>
              <w:rPr>
                <w:b/>
                <w:lang w:val="en-US"/>
              </w:rPr>
              <w:t xml:space="preserve">PR: </w:t>
            </w:r>
          </w:p>
          <w:p w14:paraId="653305D6" w14:textId="467B6A86" w:rsidR="002B6C41" w:rsidRDefault="002B6C41" w:rsidP="002B6C41">
            <w:pPr>
              <w:pStyle w:val="ListParagraph"/>
              <w:ind w:left="34" w:hanging="34"/>
              <w:rPr>
                <w:bCs/>
                <w:lang w:val="en-US"/>
              </w:rPr>
            </w:pPr>
            <w:r>
              <w:rPr>
                <w:bCs/>
                <w:lang w:val="en-US"/>
              </w:rPr>
              <w:t xml:space="preserve">JT reported that there were ongoing </w:t>
            </w:r>
            <w:r w:rsidRPr="002B6C41">
              <w:rPr>
                <w:bCs/>
                <w:lang w:val="en-US"/>
              </w:rPr>
              <w:t>problems with getting maintenance carried out by Park Gate House</w:t>
            </w:r>
            <w:r>
              <w:rPr>
                <w:b/>
                <w:lang w:val="en-US"/>
              </w:rPr>
              <w:t xml:space="preserve"> </w:t>
            </w:r>
            <w:r>
              <w:rPr>
                <w:bCs/>
                <w:lang w:val="en-US"/>
              </w:rPr>
              <w:t xml:space="preserve">and that further representations would be made to the sheik’s agents. </w:t>
            </w:r>
          </w:p>
          <w:p w14:paraId="07B26BF4" w14:textId="0BA1CDA6" w:rsidR="002B6C41" w:rsidRDefault="002B6C41" w:rsidP="002B6C41">
            <w:pPr>
              <w:pStyle w:val="ListParagraph"/>
              <w:ind w:left="34" w:hanging="34"/>
              <w:rPr>
                <w:bCs/>
                <w:lang w:val="en-US"/>
              </w:rPr>
            </w:pPr>
            <w:r>
              <w:rPr>
                <w:bCs/>
                <w:lang w:val="en-US"/>
              </w:rPr>
              <w:t>4 plots had come up for reletting at PR.</w:t>
            </w:r>
          </w:p>
          <w:p w14:paraId="78BE6DA3" w14:textId="77777777" w:rsidR="00FE0E12" w:rsidRDefault="00FE0E12" w:rsidP="002B6C41">
            <w:pPr>
              <w:pStyle w:val="ListParagraph"/>
              <w:ind w:left="34" w:hanging="34"/>
              <w:rPr>
                <w:b/>
                <w:lang w:val="en-US"/>
              </w:rPr>
            </w:pPr>
          </w:p>
          <w:p w14:paraId="595B19E4" w14:textId="1ED8A854" w:rsidR="00FE0E12" w:rsidRDefault="00FE0E12" w:rsidP="002B6C41">
            <w:pPr>
              <w:pStyle w:val="ListParagraph"/>
              <w:ind w:left="34" w:hanging="34"/>
              <w:rPr>
                <w:b/>
                <w:lang w:val="en-US"/>
              </w:rPr>
            </w:pPr>
            <w:r>
              <w:rPr>
                <w:b/>
                <w:lang w:val="en-US"/>
              </w:rPr>
              <w:t>WD:</w:t>
            </w:r>
          </w:p>
          <w:p w14:paraId="537C4C79" w14:textId="3C80FF39" w:rsidR="002B6C41" w:rsidRPr="00FE0E12" w:rsidRDefault="00FE0E12" w:rsidP="00FE0E12">
            <w:pPr>
              <w:pStyle w:val="ListParagraph"/>
              <w:ind w:left="34" w:hanging="34"/>
              <w:rPr>
                <w:bCs/>
                <w:lang w:val="en-US"/>
              </w:rPr>
            </w:pPr>
            <w:r>
              <w:rPr>
                <w:bCs/>
                <w:lang w:val="en-US"/>
              </w:rPr>
              <w:t>Needed to decide a suitable plot for a bench as a memorial to Sid.</w:t>
            </w:r>
            <w:r w:rsidR="002B6C41" w:rsidRPr="002B6C41">
              <w:rPr>
                <w:b/>
                <w:lang w:val="en-US"/>
              </w:rPr>
              <w:br/>
            </w:r>
          </w:p>
        </w:tc>
        <w:tc>
          <w:tcPr>
            <w:tcW w:w="1843" w:type="dxa"/>
          </w:tcPr>
          <w:p w14:paraId="03537D9F" w14:textId="77777777" w:rsidR="002B6C41" w:rsidRPr="00E65A93" w:rsidRDefault="002B6C41" w:rsidP="007A34C7">
            <w:pPr>
              <w:pStyle w:val="ListParagraph"/>
              <w:ind w:left="0"/>
              <w:rPr>
                <w:b/>
                <w:lang w:val="en-US"/>
              </w:rPr>
            </w:pPr>
          </w:p>
        </w:tc>
      </w:tr>
      <w:tr w:rsidR="002B6C41" w:rsidRPr="00E65A93" w14:paraId="13AF4698" w14:textId="3506DFFB" w:rsidTr="00E65A93">
        <w:tc>
          <w:tcPr>
            <w:tcW w:w="7938" w:type="dxa"/>
          </w:tcPr>
          <w:p w14:paraId="2E196904" w14:textId="77777777" w:rsidR="002B6C41" w:rsidRDefault="002B6C41" w:rsidP="002B6C41">
            <w:pPr>
              <w:rPr>
                <w:bCs/>
              </w:rPr>
            </w:pPr>
            <w:r>
              <w:rPr>
                <w:b/>
                <w:lang w:val="en-US"/>
              </w:rPr>
              <w:t xml:space="preserve">7. </w:t>
            </w:r>
            <w:r w:rsidRPr="002B6C41">
              <w:rPr>
                <w:b/>
                <w:lang w:val="en-US"/>
              </w:rPr>
              <w:t>A.O.B.</w:t>
            </w:r>
            <w:r w:rsidRPr="002B6C41">
              <w:rPr>
                <w:b/>
                <w:lang w:val="en-US"/>
              </w:rPr>
              <w:br/>
            </w:r>
            <w:r w:rsidRPr="002B6C41">
              <w:rPr>
                <w:bCs/>
              </w:rPr>
              <w:t>JT raised the issue of oversized fruit trees</w:t>
            </w:r>
            <w:r>
              <w:rPr>
                <w:bCs/>
              </w:rPr>
              <w:t xml:space="preserve"> on plots. It was agreed that in future guidance be given to only have one tree with dwarf rootstock per quarter plot.</w:t>
            </w:r>
          </w:p>
          <w:p w14:paraId="1353DF6E" w14:textId="087C92D3" w:rsidR="002B6C41" w:rsidRPr="002B6C41" w:rsidRDefault="002B6C41" w:rsidP="002B6C41">
            <w:pPr>
              <w:rPr>
                <w:bCs/>
              </w:rPr>
            </w:pPr>
          </w:p>
        </w:tc>
        <w:tc>
          <w:tcPr>
            <w:tcW w:w="1843" w:type="dxa"/>
          </w:tcPr>
          <w:p w14:paraId="0C778A80" w14:textId="77777777" w:rsidR="002B6C41" w:rsidRPr="00E65A93" w:rsidRDefault="002B6C41" w:rsidP="007A34C7">
            <w:pPr>
              <w:rPr>
                <w:b/>
              </w:rPr>
            </w:pPr>
          </w:p>
        </w:tc>
      </w:tr>
      <w:tr w:rsidR="002B6C41" w:rsidRPr="00FE0E12" w14:paraId="542D1B66" w14:textId="61091116" w:rsidTr="00E65A93">
        <w:tc>
          <w:tcPr>
            <w:tcW w:w="7938" w:type="dxa"/>
          </w:tcPr>
          <w:p w14:paraId="650B6237" w14:textId="460BFB09" w:rsidR="002B6C41" w:rsidRDefault="00FE0E12" w:rsidP="00FE0E12">
            <w:pPr>
              <w:rPr>
                <w:bCs/>
              </w:rPr>
            </w:pPr>
            <w:r>
              <w:rPr>
                <w:b/>
                <w:lang w:val="en-US"/>
              </w:rPr>
              <w:t xml:space="preserve">8. </w:t>
            </w:r>
            <w:r w:rsidR="002B6C41" w:rsidRPr="00FE0E12">
              <w:rPr>
                <w:b/>
                <w:lang w:val="en-US"/>
              </w:rPr>
              <w:t>Date and place of next meeting</w:t>
            </w:r>
            <w:r>
              <w:rPr>
                <w:b/>
                <w:lang w:val="en-US"/>
              </w:rPr>
              <w:t>(s)</w:t>
            </w:r>
            <w:r w:rsidR="002B6C41" w:rsidRPr="00FE0E12">
              <w:rPr>
                <w:b/>
                <w:lang w:val="en-US"/>
              </w:rPr>
              <w:t xml:space="preserve"> </w:t>
            </w:r>
            <w:r w:rsidR="002B6C41" w:rsidRPr="00FE0E12">
              <w:rPr>
                <w:b/>
                <w:lang w:val="en-US"/>
              </w:rPr>
              <w:br/>
            </w:r>
            <w:r w:rsidR="002B6C41" w:rsidRPr="00FE0E12">
              <w:rPr>
                <w:bCs/>
              </w:rPr>
              <w:t>Evening of Friday 26th April has been booked with 1</w:t>
            </w:r>
            <w:r w:rsidR="002B6C41" w:rsidRPr="00FE0E12">
              <w:rPr>
                <w:bCs/>
                <w:vertAlign w:val="superscript"/>
              </w:rPr>
              <w:t>st</w:t>
            </w:r>
            <w:r w:rsidR="002B6C41" w:rsidRPr="00FE0E12">
              <w:rPr>
                <w:bCs/>
              </w:rPr>
              <w:t xml:space="preserve"> Kingston Scouts</w:t>
            </w:r>
          </w:p>
          <w:p w14:paraId="54AA60FC" w14:textId="77777777" w:rsidR="00FE0E12" w:rsidRDefault="00FE0E12" w:rsidP="00FE0E12">
            <w:pPr>
              <w:rPr>
                <w:bCs/>
              </w:rPr>
            </w:pPr>
          </w:p>
          <w:p w14:paraId="5A621940" w14:textId="77777777" w:rsidR="00FE0E12" w:rsidRDefault="00FE0E12" w:rsidP="00FE0E12">
            <w:pPr>
              <w:rPr>
                <w:bCs/>
              </w:rPr>
            </w:pPr>
          </w:p>
          <w:p w14:paraId="5191D0DD" w14:textId="77777777" w:rsidR="00FE0E12" w:rsidRDefault="00FE0E12" w:rsidP="00FE0E12">
            <w:pPr>
              <w:rPr>
                <w:bCs/>
              </w:rPr>
            </w:pPr>
          </w:p>
          <w:p w14:paraId="2FC0AF57" w14:textId="77777777" w:rsidR="00FE0E12" w:rsidRDefault="00FE0E12" w:rsidP="00FE0E12">
            <w:pPr>
              <w:rPr>
                <w:bCs/>
              </w:rPr>
            </w:pPr>
          </w:p>
          <w:p w14:paraId="19639FBB" w14:textId="77777777" w:rsidR="00FE0E12" w:rsidRDefault="00FE0E12" w:rsidP="00FE0E12">
            <w:pPr>
              <w:rPr>
                <w:bCs/>
              </w:rPr>
            </w:pPr>
          </w:p>
          <w:p w14:paraId="21A5120F" w14:textId="77777777" w:rsidR="00FE0E12" w:rsidRDefault="00FE0E12" w:rsidP="00FE0E12">
            <w:pPr>
              <w:rPr>
                <w:bCs/>
              </w:rPr>
            </w:pPr>
          </w:p>
          <w:p w14:paraId="618E7DD1" w14:textId="0FECBC33" w:rsidR="00FE0E12" w:rsidRDefault="00FE0E12" w:rsidP="00FE0E12">
            <w:pPr>
              <w:rPr>
                <w:bCs/>
              </w:rPr>
            </w:pPr>
            <w:r w:rsidRPr="00FE0E12">
              <w:rPr>
                <w:bCs/>
              </w:rPr>
              <w:t>Next committee meeting schedules for Monday 15</w:t>
            </w:r>
            <w:r w:rsidRPr="00FE0E12">
              <w:rPr>
                <w:bCs/>
                <w:vertAlign w:val="superscript"/>
              </w:rPr>
              <w:t>th</w:t>
            </w:r>
            <w:r w:rsidRPr="00FE0E12">
              <w:rPr>
                <w:bCs/>
              </w:rPr>
              <w:t xml:space="preserve"> July at 4:30 pm. NA to host.</w:t>
            </w:r>
          </w:p>
          <w:p w14:paraId="46340192" w14:textId="54B291C1" w:rsidR="00FE0E12" w:rsidRPr="00FE0E12" w:rsidRDefault="00FE0E12" w:rsidP="00FE0E12">
            <w:pPr>
              <w:rPr>
                <w:bCs/>
              </w:rPr>
            </w:pPr>
          </w:p>
        </w:tc>
        <w:tc>
          <w:tcPr>
            <w:tcW w:w="1843" w:type="dxa"/>
          </w:tcPr>
          <w:p w14:paraId="62CE0C7F" w14:textId="77777777" w:rsidR="002B6C41" w:rsidRDefault="002B6C41" w:rsidP="007A34C7">
            <w:pPr>
              <w:rPr>
                <w:b/>
              </w:rPr>
            </w:pPr>
          </w:p>
          <w:p w14:paraId="41482B90" w14:textId="77777777" w:rsidR="00FE0E12" w:rsidRDefault="00FE0E12" w:rsidP="007A34C7">
            <w:pPr>
              <w:rPr>
                <w:b/>
              </w:rPr>
            </w:pPr>
            <w:r>
              <w:rPr>
                <w:b/>
              </w:rPr>
              <w:t>PB to obtain keys</w:t>
            </w:r>
          </w:p>
          <w:p w14:paraId="6980A107" w14:textId="25D6791F" w:rsidR="00FE0E12" w:rsidRPr="00FE0E12" w:rsidRDefault="00FE0E12" w:rsidP="007A34C7">
            <w:pPr>
              <w:rPr>
                <w:b/>
              </w:rPr>
            </w:pPr>
            <w:r w:rsidRPr="00FE0E12">
              <w:rPr>
                <w:b/>
              </w:rPr>
              <w:t xml:space="preserve">NA/RP </w:t>
            </w:r>
            <w:r>
              <w:rPr>
                <w:b/>
              </w:rPr>
              <w:t>to</w:t>
            </w:r>
            <w:r w:rsidRPr="00FE0E12">
              <w:rPr>
                <w:b/>
              </w:rPr>
              <w:t>o liaise re purchase of drink</w:t>
            </w:r>
            <w:r>
              <w:rPr>
                <w:b/>
              </w:rPr>
              <w:t>s and nibbles</w:t>
            </w:r>
          </w:p>
        </w:tc>
      </w:tr>
    </w:tbl>
    <w:p w14:paraId="2E4F1A65" w14:textId="515917EE" w:rsidR="006B4621" w:rsidRPr="00FE0E12" w:rsidRDefault="00BC085B" w:rsidP="001B088E">
      <w:r w:rsidRPr="00FE0E12">
        <w:rPr>
          <w:b/>
        </w:rPr>
        <w:br/>
      </w:r>
    </w:p>
    <w:sectPr w:rsidR="006B4621" w:rsidRPr="00FE0E12" w:rsidSect="005F6B50">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FE1F" w14:textId="77777777" w:rsidR="005F6B50" w:rsidRDefault="005F6B50" w:rsidP="004770EE">
      <w:r>
        <w:separator/>
      </w:r>
    </w:p>
  </w:endnote>
  <w:endnote w:type="continuationSeparator" w:id="0">
    <w:p w14:paraId="511CF951" w14:textId="77777777" w:rsidR="005F6B50" w:rsidRDefault="005F6B50" w:rsidP="0047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6F509" w14:textId="77777777" w:rsidR="005F6B50" w:rsidRDefault="005F6B50" w:rsidP="004770EE">
      <w:r>
        <w:separator/>
      </w:r>
    </w:p>
  </w:footnote>
  <w:footnote w:type="continuationSeparator" w:id="0">
    <w:p w14:paraId="7AB9D200" w14:textId="77777777" w:rsidR="005F6B50" w:rsidRDefault="005F6B50" w:rsidP="00477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51545"/>
    <w:multiLevelType w:val="hybridMultilevel"/>
    <w:tmpl w:val="58D4338A"/>
    <w:lvl w:ilvl="0" w:tplc="70944F9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E92444"/>
    <w:multiLevelType w:val="hybridMultilevel"/>
    <w:tmpl w:val="B6DCA196"/>
    <w:lvl w:ilvl="0" w:tplc="70944F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1D1977"/>
    <w:multiLevelType w:val="hybridMultilevel"/>
    <w:tmpl w:val="55FAD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040691"/>
    <w:multiLevelType w:val="hybridMultilevel"/>
    <w:tmpl w:val="11D80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42596A"/>
    <w:multiLevelType w:val="hybridMultilevel"/>
    <w:tmpl w:val="2730E30C"/>
    <w:lvl w:ilvl="0" w:tplc="70944F90">
      <w:start w:val="1"/>
      <w:numFmt w:val="decimal"/>
      <w:lvlText w:val="%1."/>
      <w:lvlJc w:val="left"/>
      <w:pPr>
        <w:ind w:left="1287"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545450">
    <w:abstractNumId w:val="2"/>
  </w:num>
  <w:num w:numId="2" w16cid:durableId="1124470198">
    <w:abstractNumId w:val="1"/>
  </w:num>
  <w:num w:numId="3" w16cid:durableId="1266966082">
    <w:abstractNumId w:val="0"/>
  </w:num>
  <w:num w:numId="4" w16cid:durableId="23290909">
    <w:abstractNumId w:val="4"/>
  </w:num>
  <w:num w:numId="5" w16cid:durableId="5225963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0EE"/>
    <w:rsid w:val="00002ADC"/>
    <w:rsid w:val="0001003E"/>
    <w:rsid w:val="00025A27"/>
    <w:rsid w:val="00042E5A"/>
    <w:rsid w:val="00044493"/>
    <w:rsid w:val="00051BCC"/>
    <w:rsid w:val="00055289"/>
    <w:rsid w:val="000570B3"/>
    <w:rsid w:val="00060C1B"/>
    <w:rsid w:val="00087917"/>
    <w:rsid w:val="000A772B"/>
    <w:rsid w:val="000B31C7"/>
    <w:rsid w:val="000B59FA"/>
    <w:rsid w:val="000D2863"/>
    <w:rsid w:val="000D7E74"/>
    <w:rsid w:val="000F101E"/>
    <w:rsid w:val="0010005B"/>
    <w:rsid w:val="00110139"/>
    <w:rsid w:val="00140A78"/>
    <w:rsid w:val="00147FDC"/>
    <w:rsid w:val="001547F1"/>
    <w:rsid w:val="00172010"/>
    <w:rsid w:val="00185A1B"/>
    <w:rsid w:val="001A041A"/>
    <w:rsid w:val="001B088E"/>
    <w:rsid w:val="001B2CA7"/>
    <w:rsid w:val="001C2CE1"/>
    <w:rsid w:val="001C5E10"/>
    <w:rsid w:val="001C67C8"/>
    <w:rsid w:val="001C7E79"/>
    <w:rsid w:val="001D059A"/>
    <w:rsid w:val="001E1C5D"/>
    <w:rsid w:val="001F0FFE"/>
    <w:rsid w:val="0021235C"/>
    <w:rsid w:val="002301F8"/>
    <w:rsid w:val="00232A96"/>
    <w:rsid w:val="00235F93"/>
    <w:rsid w:val="00244434"/>
    <w:rsid w:val="002612BF"/>
    <w:rsid w:val="002865C6"/>
    <w:rsid w:val="00286C98"/>
    <w:rsid w:val="00290F5F"/>
    <w:rsid w:val="002B2161"/>
    <w:rsid w:val="002B6C41"/>
    <w:rsid w:val="002E1A89"/>
    <w:rsid w:val="002E4990"/>
    <w:rsid w:val="002F318C"/>
    <w:rsid w:val="002F6C26"/>
    <w:rsid w:val="00313738"/>
    <w:rsid w:val="003249A5"/>
    <w:rsid w:val="00337C0B"/>
    <w:rsid w:val="003445A1"/>
    <w:rsid w:val="00345E5B"/>
    <w:rsid w:val="00352176"/>
    <w:rsid w:val="00365EF2"/>
    <w:rsid w:val="003705B4"/>
    <w:rsid w:val="00373A2A"/>
    <w:rsid w:val="00385937"/>
    <w:rsid w:val="0038653A"/>
    <w:rsid w:val="003918EB"/>
    <w:rsid w:val="003B55B4"/>
    <w:rsid w:val="003D430A"/>
    <w:rsid w:val="00401F5B"/>
    <w:rsid w:val="0041349B"/>
    <w:rsid w:val="004264C0"/>
    <w:rsid w:val="00431F14"/>
    <w:rsid w:val="00441D5D"/>
    <w:rsid w:val="00442CB8"/>
    <w:rsid w:val="004770EE"/>
    <w:rsid w:val="00481C3E"/>
    <w:rsid w:val="004A54C9"/>
    <w:rsid w:val="004B5E2E"/>
    <w:rsid w:val="004B79FE"/>
    <w:rsid w:val="004C1533"/>
    <w:rsid w:val="004E545B"/>
    <w:rsid w:val="005102DB"/>
    <w:rsid w:val="00510558"/>
    <w:rsid w:val="0052714E"/>
    <w:rsid w:val="00533C9E"/>
    <w:rsid w:val="00542933"/>
    <w:rsid w:val="00546497"/>
    <w:rsid w:val="005472C0"/>
    <w:rsid w:val="00561D05"/>
    <w:rsid w:val="00567724"/>
    <w:rsid w:val="00572689"/>
    <w:rsid w:val="00574E93"/>
    <w:rsid w:val="00581127"/>
    <w:rsid w:val="005819B3"/>
    <w:rsid w:val="005829D9"/>
    <w:rsid w:val="00582D45"/>
    <w:rsid w:val="00582EA5"/>
    <w:rsid w:val="005839C8"/>
    <w:rsid w:val="005861EA"/>
    <w:rsid w:val="0058759D"/>
    <w:rsid w:val="00593CF3"/>
    <w:rsid w:val="005947C8"/>
    <w:rsid w:val="005B4396"/>
    <w:rsid w:val="005C6E0C"/>
    <w:rsid w:val="005F6B50"/>
    <w:rsid w:val="0060740E"/>
    <w:rsid w:val="00651C9C"/>
    <w:rsid w:val="00651F20"/>
    <w:rsid w:val="006560C5"/>
    <w:rsid w:val="006822C8"/>
    <w:rsid w:val="00692FE1"/>
    <w:rsid w:val="00697B45"/>
    <w:rsid w:val="006B3ED3"/>
    <w:rsid w:val="006B4621"/>
    <w:rsid w:val="006D2E25"/>
    <w:rsid w:val="006D59E3"/>
    <w:rsid w:val="006E4A5D"/>
    <w:rsid w:val="006E5E9A"/>
    <w:rsid w:val="006F2BEC"/>
    <w:rsid w:val="007151C1"/>
    <w:rsid w:val="00721FC0"/>
    <w:rsid w:val="007336A5"/>
    <w:rsid w:val="00740465"/>
    <w:rsid w:val="00745630"/>
    <w:rsid w:val="00780202"/>
    <w:rsid w:val="00782F53"/>
    <w:rsid w:val="00783449"/>
    <w:rsid w:val="00792257"/>
    <w:rsid w:val="00794C9B"/>
    <w:rsid w:val="00797890"/>
    <w:rsid w:val="007A2A91"/>
    <w:rsid w:val="007A34C7"/>
    <w:rsid w:val="007A5688"/>
    <w:rsid w:val="007B4A27"/>
    <w:rsid w:val="007B4FD1"/>
    <w:rsid w:val="007B511C"/>
    <w:rsid w:val="007F3DA6"/>
    <w:rsid w:val="0080351D"/>
    <w:rsid w:val="008057AC"/>
    <w:rsid w:val="00815427"/>
    <w:rsid w:val="00821EB1"/>
    <w:rsid w:val="0082565E"/>
    <w:rsid w:val="00836E9E"/>
    <w:rsid w:val="00857C50"/>
    <w:rsid w:val="00886EA0"/>
    <w:rsid w:val="00893998"/>
    <w:rsid w:val="00897B7C"/>
    <w:rsid w:val="008A34C5"/>
    <w:rsid w:val="008C778A"/>
    <w:rsid w:val="008D6BCE"/>
    <w:rsid w:val="008E63A3"/>
    <w:rsid w:val="008F3AA6"/>
    <w:rsid w:val="00900E42"/>
    <w:rsid w:val="009074F9"/>
    <w:rsid w:val="00912FB3"/>
    <w:rsid w:val="009238C5"/>
    <w:rsid w:val="00930229"/>
    <w:rsid w:val="00935B6E"/>
    <w:rsid w:val="00937B72"/>
    <w:rsid w:val="00940975"/>
    <w:rsid w:val="00952596"/>
    <w:rsid w:val="009A2584"/>
    <w:rsid w:val="009B41BB"/>
    <w:rsid w:val="009B4D6C"/>
    <w:rsid w:val="009B6586"/>
    <w:rsid w:val="009C0D7A"/>
    <w:rsid w:val="009D1769"/>
    <w:rsid w:val="009D20C7"/>
    <w:rsid w:val="009E7F57"/>
    <w:rsid w:val="00A00E72"/>
    <w:rsid w:val="00A11143"/>
    <w:rsid w:val="00A12DCE"/>
    <w:rsid w:val="00A3774E"/>
    <w:rsid w:val="00A410C4"/>
    <w:rsid w:val="00A6062B"/>
    <w:rsid w:val="00A8013E"/>
    <w:rsid w:val="00A85737"/>
    <w:rsid w:val="00A91A7D"/>
    <w:rsid w:val="00A956AF"/>
    <w:rsid w:val="00AA053B"/>
    <w:rsid w:val="00AB20D2"/>
    <w:rsid w:val="00AB4D4E"/>
    <w:rsid w:val="00AC5214"/>
    <w:rsid w:val="00AE7A42"/>
    <w:rsid w:val="00AF7D2E"/>
    <w:rsid w:val="00B231EA"/>
    <w:rsid w:val="00B35EE8"/>
    <w:rsid w:val="00B44930"/>
    <w:rsid w:val="00B56B6D"/>
    <w:rsid w:val="00B5721D"/>
    <w:rsid w:val="00B616A9"/>
    <w:rsid w:val="00B8512C"/>
    <w:rsid w:val="00B877F5"/>
    <w:rsid w:val="00BA3DBA"/>
    <w:rsid w:val="00BB4184"/>
    <w:rsid w:val="00BB5C3E"/>
    <w:rsid w:val="00BC085B"/>
    <w:rsid w:val="00BD7177"/>
    <w:rsid w:val="00BE61B7"/>
    <w:rsid w:val="00BF4B05"/>
    <w:rsid w:val="00BF570F"/>
    <w:rsid w:val="00C00B08"/>
    <w:rsid w:val="00C01391"/>
    <w:rsid w:val="00C013FA"/>
    <w:rsid w:val="00C04ADC"/>
    <w:rsid w:val="00C17FE7"/>
    <w:rsid w:val="00C209F9"/>
    <w:rsid w:val="00C22ABA"/>
    <w:rsid w:val="00C32D98"/>
    <w:rsid w:val="00C32DB4"/>
    <w:rsid w:val="00C3405A"/>
    <w:rsid w:val="00C374BC"/>
    <w:rsid w:val="00C51C02"/>
    <w:rsid w:val="00C769FA"/>
    <w:rsid w:val="00CA689B"/>
    <w:rsid w:val="00CB18B8"/>
    <w:rsid w:val="00CB3539"/>
    <w:rsid w:val="00CE1029"/>
    <w:rsid w:val="00D01270"/>
    <w:rsid w:val="00D04CD2"/>
    <w:rsid w:val="00D30BDF"/>
    <w:rsid w:val="00D4482E"/>
    <w:rsid w:val="00D51C8B"/>
    <w:rsid w:val="00D748D7"/>
    <w:rsid w:val="00D83364"/>
    <w:rsid w:val="00DA2BFA"/>
    <w:rsid w:val="00DB2F82"/>
    <w:rsid w:val="00DB49E7"/>
    <w:rsid w:val="00DD0DE1"/>
    <w:rsid w:val="00DD4407"/>
    <w:rsid w:val="00DF39C4"/>
    <w:rsid w:val="00DF60D8"/>
    <w:rsid w:val="00E125FC"/>
    <w:rsid w:val="00E14119"/>
    <w:rsid w:val="00E3239F"/>
    <w:rsid w:val="00E329F1"/>
    <w:rsid w:val="00E471F2"/>
    <w:rsid w:val="00E5779F"/>
    <w:rsid w:val="00E65A93"/>
    <w:rsid w:val="00E77F06"/>
    <w:rsid w:val="00E8721E"/>
    <w:rsid w:val="00EB1E05"/>
    <w:rsid w:val="00EB44E4"/>
    <w:rsid w:val="00EB6099"/>
    <w:rsid w:val="00EB6572"/>
    <w:rsid w:val="00EC27E8"/>
    <w:rsid w:val="00EC4445"/>
    <w:rsid w:val="00EC6FAC"/>
    <w:rsid w:val="00ED15EB"/>
    <w:rsid w:val="00ED2F6F"/>
    <w:rsid w:val="00ED5A26"/>
    <w:rsid w:val="00EE0B95"/>
    <w:rsid w:val="00EE0C82"/>
    <w:rsid w:val="00EE31FA"/>
    <w:rsid w:val="00EE4296"/>
    <w:rsid w:val="00EF0885"/>
    <w:rsid w:val="00F03F01"/>
    <w:rsid w:val="00F04348"/>
    <w:rsid w:val="00F04737"/>
    <w:rsid w:val="00F12741"/>
    <w:rsid w:val="00F15D93"/>
    <w:rsid w:val="00F72894"/>
    <w:rsid w:val="00F754C0"/>
    <w:rsid w:val="00F77F5D"/>
    <w:rsid w:val="00FA2536"/>
    <w:rsid w:val="00FB13C5"/>
    <w:rsid w:val="00FB7E67"/>
    <w:rsid w:val="00FC3113"/>
    <w:rsid w:val="00FC5157"/>
    <w:rsid w:val="00FD26E4"/>
    <w:rsid w:val="00FD4A9F"/>
    <w:rsid w:val="00FD7718"/>
    <w:rsid w:val="00FE0E12"/>
    <w:rsid w:val="00FF2A8F"/>
    <w:rsid w:val="00FF5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46851B"/>
  <w14:defaultImageDpi w14:val="300"/>
  <w15:docId w15:val="{C08B47DB-3144-004C-852A-76E1AFA1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4770EE"/>
    <w:pPr>
      <w:keepNext/>
      <w:keepLines/>
      <w:spacing w:before="480"/>
      <w:jc w:val="center"/>
      <w:outlineLvl w:val="0"/>
    </w:pPr>
    <w:rPr>
      <w:rFonts w:asciiTheme="majorHAnsi" w:eastAsiaTheme="majorEastAsia" w:hAnsiTheme="majorHAnsi" w:cstheme="majorBidi"/>
      <w:b/>
      <w:bCs/>
      <w:color w:val="345A8A" w:themeColor="accent1" w:themeShade="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0EE"/>
    <w:pPr>
      <w:ind w:left="720"/>
      <w:contextualSpacing/>
    </w:pPr>
  </w:style>
  <w:style w:type="paragraph" w:styleId="Header">
    <w:name w:val="header"/>
    <w:basedOn w:val="Normal"/>
    <w:link w:val="HeaderChar"/>
    <w:uiPriority w:val="99"/>
    <w:unhideWhenUsed/>
    <w:rsid w:val="004770EE"/>
    <w:pPr>
      <w:tabs>
        <w:tab w:val="center" w:pos="4320"/>
        <w:tab w:val="right" w:pos="8640"/>
      </w:tabs>
    </w:pPr>
  </w:style>
  <w:style w:type="character" w:customStyle="1" w:styleId="HeaderChar">
    <w:name w:val="Header Char"/>
    <w:basedOn w:val="DefaultParagraphFont"/>
    <w:link w:val="Header"/>
    <w:uiPriority w:val="99"/>
    <w:rsid w:val="004770EE"/>
    <w:rPr>
      <w:lang w:val="en-GB"/>
    </w:rPr>
  </w:style>
  <w:style w:type="paragraph" w:styleId="Footer">
    <w:name w:val="footer"/>
    <w:basedOn w:val="Normal"/>
    <w:link w:val="FooterChar"/>
    <w:uiPriority w:val="99"/>
    <w:unhideWhenUsed/>
    <w:rsid w:val="004770EE"/>
    <w:pPr>
      <w:tabs>
        <w:tab w:val="center" w:pos="4320"/>
        <w:tab w:val="right" w:pos="8640"/>
      </w:tabs>
    </w:pPr>
  </w:style>
  <w:style w:type="character" w:customStyle="1" w:styleId="FooterChar">
    <w:name w:val="Footer Char"/>
    <w:basedOn w:val="DefaultParagraphFont"/>
    <w:link w:val="Footer"/>
    <w:uiPriority w:val="99"/>
    <w:rsid w:val="004770EE"/>
    <w:rPr>
      <w:lang w:val="en-GB"/>
    </w:rPr>
  </w:style>
  <w:style w:type="paragraph" w:styleId="Title">
    <w:name w:val="Title"/>
    <w:basedOn w:val="Normal"/>
    <w:next w:val="Normal"/>
    <w:link w:val="TitleChar"/>
    <w:uiPriority w:val="10"/>
    <w:qFormat/>
    <w:rsid w:val="004770EE"/>
    <w:pPr>
      <w:pBdr>
        <w:bottom w:val="single" w:sz="8" w:space="4" w:color="4F81BD" w:themeColor="accent1"/>
      </w:pBdr>
      <w:spacing w:after="300"/>
      <w:contextualSpacing/>
      <w:jc w:val="center"/>
    </w:pPr>
    <w:rPr>
      <w:rFonts w:asciiTheme="majorHAnsi" w:eastAsiaTheme="majorEastAsia" w:hAnsiTheme="majorHAnsi" w:cstheme="majorBidi"/>
      <w:b/>
      <w:color w:val="17365D" w:themeColor="text2" w:themeShade="BF"/>
      <w:spacing w:val="5"/>
      <w:kern w:val="28"/>
      <w:sz w:val="32"/>
      <w:szCs w:val="32"/>
      <w:lang w:val="en-US"/>
    </w:rPr>
  </w:style>
  <w:style w:type="character" w:customStyle="1" w:styleId="TitleChar">
    <w:name w:val="Title Char"/>
    <w:basedOn w:val="DefaultParagraphFont"/>
    <w:link w:val="Title"/>
    <w:uiPriority w:val="10"/>
    <w:rsid w:val="004770EE"/>
    <w:rPr>
      <w:rFonts w:asciiTheme="majorHAnsi" w:eastAsiaTheme="majorEastAsia" w:hAnsiTheme="majorHAnsi" w:cstheme="majorBidi"/>
      <w:b/>
      <w:color w:val="17365D" w:themeColor="text2" w:themeShade="BF"/>
      <w:spacing w:val="5"/>
      <w:kern w:val="28"/>
      <w:sz w:val="32"/>
      <w:szCs w:val="32"/>
    </w:rPr>
  </w:style>
  <w:style w:type="character" w:customStyle="1" w:styleId="Heading1Char">
    <w:name w:val="Heading 1 Char"/>
    <w:basedOn w:val="DefaultParagraphFont"/>
    <w:link w:val="Heading1"/>
    <w:uiPriority w:val="9"/>
    <w:rsid w:val="004770EE"/>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E65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79016">
      <w:bodyDiv w:val="1"/>
      <w:marLeft w:val="0"/>
      <w:marRight w:val="0"/>
      <w:marTop w:val="0"/>
      <w:marBottom w:val="0"/>
      <w:divBdr>
        <w:top w:val="none" w:sz="0" w:space="0" w:color="auto"/>
        <w:left w:val="none" w:sz="0" w:space="0" w:color="auto"/>
        <w:bottom w:val="none" w:sz="0" w:space="0" w:color="auto"/>
        <w:right w:val="none" w:sz="0" w:space="0" w:color="auto"/>
      </w:divBdr>
    </w:div>
    <w:div w:id="1847012503">
      <w:bodyDiv w:val="1"/>
      <w:marLeft w:val="0"/>
      <w:marRight w:val="0"/>
      <w:marTop w:val="0"/>
      <w:marBottom w:val="0"/>
      <w:divBdr>
        <w:top w:val="none" w:sz="0" w:space="0" w:color="auto"/>
        <w:left w:val="none" w:sz="0" w:space="0" w:color="auto"/>
        <w:bottom w:val="none" w:sz="0" w:space="0" w:color="auto"/>
        <w:right w:val="none" w:sz="0" w:space="0" w:color="auto"/>
      </w:divBdr>
      <w:divsChild>
        <w:div w:id="2072073072">
          <w:marLeft w:val="0"/>
          <w:marRight w:val="0"/>
          <w:marTop w:val="0"/>
          <w:marBottom w:val="0"/>
          <w:divBdr>
            <w:top w:val="none" w:sz="0" w:space="0" w:color="auto"/>
            <w:left w:val="none" w:sz="0" w:space="0" w:color="auto"/>
            <w:bottom w:val="none" w:sz="0" w:space="0" w:color="auto"/>
            <w:right w:val="none" w:sz="0" w:space="0" w:color="auto"/>
          </w:divBdr>
        </w:div>
        <w:div w:id="249896149">
          <w:marLeft w:val="0"/>
          <w:marRight w:val="0"/>
          <w:marTop w:val="0"/>
          <w:marBottom w:val="0"/>
          <w:divBdr>
            <w:top w:val="none" w:sz="0" w:space="0" w:color="auto"/>
            <w:left w:val="none" w:sz="0" w:space="0" w:color="auto"/>
            <w:bottom w:val="none" w:sz="0" w:space="0" w:color="auto"/>
            <w:right w:val="none" w:sz="0" w:space="0" w:color="auto"/>
          </w:divBdr>
        </w:div>
        <w:div w:id="496965483">
          <w:marLeft w:val="0"/>
          <w:marRight w:val="0"/>
          <w:marTop w:val="0"/>
          <w:marBottom w:val="0"/>
          <w:divBdr>
            <w:top w:val="none" w:sz="0" w:space="0" w:color="auto"/>
            <w:left w:val="none" w:sz="0" w:space="0" w:color="auto"/>
            <w:bottom w:val="none" w:sz="0" w:space="0" w:color="auto"/>
            <w:right w:val="none" w:sz="0" w:space="0" w:color="auto"/>
          </w:divBdr>
        </w:div>
        <w:div w:id="2012179181">
          <w:marLeft w:val="0"/>
          <w:marRight w:val="0"/>
          <w:marTop w:val="0"/>
          <w:marBottom w:val="0"/>
          <w:divBdr>
            <w:top w:val="none" w:sz="0" w:space="0" w:color="auto"/>
            <w:left w:val="none" w:sz="0" w:space="0" w:color="auto"/>
            <w:bottom w:val="none" w:sz="0" w:space="0" w:color="auto"/>
            <w:right w:val="none" w:sz="0" w:space="0" w:color="auto"/>
          </w:divBdr>
        </w:div>
        <w:div w:id="785736967">
          <w:marLeft w:val="0"/>
          <w:marRight w:val="0"/>
          <w:marTop w:val="0"/>
          <w:marBottom w:val="0"/>
          <w:divBdr>
            <w:top w:val="none" w:sz="0" w:space="0" w:color="auto"/>
            <w:left w:val="none" w:sz="0" w:space="0" w:color="auto"/>
            <w:bottom w:val="none" w:sz="0" w:space="0" w:color="auto"/>
            <w:right w:val="none" w:sz="0" w:space="0" w:color="auto"/>
          </w:divBdr>
        </w:div>
        <w:div w:id="1566795079">
          <w:marLeft w:val="0"/>
          <w:marRight w:val="0"/>
          <w:marTop w:val="0"/>
          <w:marBottom w:val="0"/>
          <w:divBdr>
            <w:top w:val="none" w:sz="0" w:space="0" w:color="auto"/>
            <w:left w:val="none" w:sz="0" w:space="0" w:color="auto"/>
            <w:bottom w:val="none" w:sz="0" w:space="0" w:color="auto"/>
            <w:right w:val="none" w:sz="0" w:space="0" w:color="auto"/>
          </w:divBdr>
        </w:div>
        <w:div w:id="47649122">
          <w:marLeft w:val="0"/>
          <w:marRight w:val="0"/>
          <w:marTop w:val="0"/>
          <w:marBottom w:val="0"/>
          <w:divBdr>
            <w:top w:val="none" w:sz="0" w:space="0" w:color="auto"/>
            <w:left w:val="none" w:sz="0" w:space="0" w:color="auto"/>
            <w:bottom w:val="none" w:sz="0" w:space="0" w:color="auto"/>
            <w:right w:val="none" w:sz="0" w:space="0" w:color="auto"/>
          </w:divBdr>
        </w:div>
        <w:div w:id="1545672872">
          <w:marLeft w:val="0"/>
          <w:marRight w:val="0"/>
          <w:marTop w:val="0"/>
          <w:marBottom w:val="0"/>
          <w:divBdr>
            <w:top w:val="none" w:sz="0" w:space="0" w:color="auto"/>
            <w:left w:val="none" w:sz="0" w:space="0" w:color="auto"/>
            <w:bottom w:val="none" w:sz="0" w:space="0" w:color="auto"/>
            <w:right w:val="none" w:sz="0" w:space="0" w:color="auto"/>
          </w:divBdr>
        </w:div>
        <w:div w:id="1999652865">
          <w:marLeft w:val="0"/>
          <w:marRight w:val="0"/>
          <w:marTop w:val="0"/>
          <w:marBottom w:val="0"/>
          <w:divBdr>
            <w:top w:val="none" w:sz="0" w:space="0" w:color="auto"/>
            <w:left w:val="none" w:sz="0" w:space="0" w:color="auto"/>
            <w:bottom w:val="none" w:sz="0" w:space="0" w:color="auto"/>
            <w:right w:val="none" w:sz="0" w:space="0" w:color="auto"/>
          </w:divBdr>
        </w:div>
        <w:div w:id="1640839297">
          <w:marLeft w:val="0"/>
          <w:marRight w:val="0"/>
          <w:marTop w:val="0"/>
          <w:marBottom w:val="0"/>
          <w:divBdr>
            <w:top w:val="none" w:sz="0" w:space="0" w:color="auto"/>
            <w:left w:val="none" w:sz="0" w:space="0" w:color="auto"/>
            <w:bottom w:val="none" w:sz="0" w:space="0" w:color="auto"/>
            <w:right w:val="none" w:sz="0" w:space="0" w:color="auto"/>
          </w:divBdr>
        </w:div>
        <w:div w:id="1386022586">
          <w:marLeft w:val="0"/>
          <w:marRight w:val="0"/>
          <w:marTop w:val="0"/>
          <w:marBottom w:val="0"/>
          <w:divBdr>
            <w:top w:val="none" w:sz="0" w:space="0" w:color="auto"/>
            <w:left w:val="none" w:sz="0" w:space="0" w:color="auto"/>
            <w:bottom w:val="none" w:sz="0" w:space="0" w:color="auto"/>
            <w:right w:val="none" w:sz="0" w:space="0" w:color="auto"/>
          </w:divBdr>
        </w:div>
        <w:div w:id="142936595">
          <w:marLeft w:val="0"/>
          <w:marRight w:val="0"/>
          <w:marTop w:val="0"/>
          <w:marBottom w:val="0"/>
          <w:divBdr>
            <w:top w:val="none" w:sz="0" w:space="0" w:color="auto"/>
            <w:left w:val="none" w:sz="0" w:space="0" w:color="auto"/>
            <w:bottom w:val="none" w:sz="0" w:space="0" w:color="auto"/>
            <w:right w:val="none" w:sz="0" w:space="0" w:color="auto"/>
          </w:divBdr>
        </w:div>
        <w:div w:id="195047982">
          <w:marLeft w:val="0"/>
          <w:marRight w:val="0"/>
          <w:marTop w:val="0"/>
          <w:marBottom w:val="0"/>
          <w:divBdr>
            <w:top w:val="none" w:sz="0" w:space="0" w:color="auto"/>
            <w:left w:val="none" w:sz="0" w:space="0" w:color="auto"/>
            <w:bottom w:val="none" w:sz="0" w:space="0" w:color="auto"/>
            <w:right w:val="none" w:sz="0" w:space="0" w:color="auto"/>
          </w:divBdr>
        </w:div>
        <w:div w:id="407576521">
          <w:marLeft w:val="0"/>
          <w:marRight w:val="0"/>
          <w:marTop w:val="0"/>
          <w:marBottom w:val="0"/>
          <w:divBdr>
            <w:top w:val="none" w:sz="0" w:space="0" w:color="auto"/>
            <w:left w:val="none" w:sz="0" w:space="0" w:color="auto"/>
            <w:bottom w:val="none" w:sz="0" w:space="0" w:color="auto"/>
            <w:right w:val="none" w:sz="0" w:space="0" w:color="auto"/>
          </w:divBdr>
        </w:div>
        <w:div w:id="21414855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Brown</dc:creator>
  <cp:keywords/>
  <dc:description/>
  <cp:lastModifiedBy>Giles Ashbee</cp:lastModifiedBy>
  <cp:revision>2</cp:revision>
  <cp:lastPrinted>2022-06-22T15:44:00Z</cp:lastPrinted>
  <dcterms:created xsi:type="dcterms:W3CDTF">2024-04-02T19:49:00Z</dcterms:created>
  <dcterms:modified xsi:type="dcterms:W3CDTF">2024-04-02T19:49:00Z</dcterms:modified>
</cp:coreProperties>
</file>