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8457" w14:textId="587FCD07" w:rsidR="001E010C" w:rsidRDefault="00703AEF">
      <w:pPr>
        <w:pStyle w:val="BodyText"/>
        <w:spacing w:before="85" w:line="259" w:lineRule="auto"/>
        <w:ind w:left="3372" w:right="7" w:hanging="3340"/>
      </w:pPr>
      <w:r>
        <w:rPr>
          <w:w w:val="110"/>
        </w:rPr>
        <w:t>MINUTES OF OGM</w:t>
      </w:r>
      <w:r>
        <w:rPr>
          <w:spacing w:val="-12"/>
          <w:w w:val="110"/>
        </w:rPr>
        <w:t xml:space="preserve"> </w:t>
      </w:r>
      <w:r>
        <w:rPr>
          <w:w w:val="110"/>
        </w:rPr>
        <w:t>9</w:t>
      </w:r>
      <w:proofErr w:type="spellStart"/>
      <w:r>
        <w:rPr>
          <w:w w:val="110"/>
          <w:position w:val="8"/>
          <w:sz w:val="13"/>
        </w:rPr>
        <w:t>th</w:t>
      </w:r>
      <w:proofErr w:type="spellEnd"/>
      <w:r>
        <w:rPr>
          <w:spacing w:val="11"/>
          <w:w w:val="110"/>
          <w:position w:val="8"/>
          <w:sz w:val="13"/>
        </w:rPr>
        <w:t xml:space="preserve"> </w:t>
      </w:r>
      <w:r>
        <w:rPr>
          <w:w w:val="110"/>
        </w:rPr>
        <w:t>JUNE</w:t>
      </w:r>
      <w:r>
        <w:rPr>
          <w:spacing w:val="-9"/>
          <w:w w:val="110"/>
        </w:rPr>
        <w:t xml:space="preserve"> </w:t>
      </w:r>
      <w:r>
        <w:rPr>
          <w:w w:val="110"/>
        </w:rPr>
        <w:t>2025</w:t>
      </w:r>
      <w:r>
        <w:rPr>
          <w:spacing w:val="-11"/>
          <w:w w:val="110"/>
        </w:rPr>
        <w:t xml:space="preserve"> </w:t>
      </w:r>
      <w:r>
        <w:rPr>
          <w:w w:val="110"/>
        </w:rPr>
        <w:t>–</w:t>
      </w:r>
      <w:r>
        <w:rPr>
          <w:spacing w:val="-11"/>
          <w:w w:val="110"/>
        </w:rPr>
        <w:t xml:space="preserve"> </w:t>
      </w:r>
      <w:r>
        <w:rPr>
          <w:w w:val="110"/>
        </w:rPr>
        <w:t>HELD</w:t>
      </w:r>
      <w:r>
        <w:rPr>
          <w:spacing w:val="-13"/>
          <w:w w:val="110"/>
        </w:rPr>
        <w:t xml:space="preserve"> </w:t>
      </w:r>
      <w:r>
        <w:rPr>
          <w:w w:val="110"/>
        </w:rPr>
        <w:t>AT</w:t>
      </w:r>
      <w:r>
        <w:rPr>
          <w:spacing w:val="-11"/>
          <w:w w:val="110"/>
        </w:rPr>
        <w:t xml:space="preserve"> </w:t>
      </w:r>
      <w:r>
        <w:rPr>
          <w:w w:val="110"/>
        </w:rPr>
        <w:t>THE</w:t>
      </w:r>
      <w:r>
        <w:rPr>
          <w:spacing w:val="-13"/>
          <w:w w:val="110"/>
        </w:rPr>
        <w:t xml:space="preserve"> </w:t>
      </w:r>
      <w:r>
        <w:rPr>
          <w:w w:val="110"/>
        </w:rPr>
        <w:t>GATEHOUSE</w:t>
      </w:r>
      <w:r>
        <w:rPr>
          <w:spacing w:val="-13"/>
          <w:w w:val="110"/>
        </w:rPr>
        <w:t xml:space="preserve"> </w:t>
      </w:r>
      <w:r>
        <w:rPr>
          <w:w w:val="110"/>
        </w:rPr>
        <w:t>COOPERSALE</w:t>
      </w:r>
      <w:r>
        <w:rPr>
          <w:spacing w:val="-10"/>
          <w:w w:val="110"/>
        </w:rPr>
        <w:t xml:space="preserve"> </w:t>
      </w:r>
      <w:r>
        <w:rPr>
          <w:w w:val="110"/>
        </w:rPr>
        <w:t>LANE,</w:t>
      </w:r>
      <w:r>
        <w:rPr>
          <w:spacing w:val="-12"/>
          <w:w w:val="110"/>
        </w:rPr>
        <w:t xml:space="preserve"> </w:t>
      </w:r>
      <w:r>
        <w:rPr>
          <w:w w:val="110"/>
        </w:rPr>
        <w:t>THEYDON GARNON</w:t>
      </w:r>
    </w:p>
    <w:p w14:paraId="76ECFE54" w14:textId="1092EFF3" w:rsidR="001E010C" w:rsidRPr="00703AEF" w:rsidRDefault="00000000" w:rsidP="008F3B73">
      <w:pPr>
        <w:pStyle w:val="ListParagraph"/>
        <w:numPr>
          <w:ilvl w:val="0"/>
          <w:numId w:val="1"/>
        </w:numPr>
        <w:tabs>
          <w:tab w:val="left" w:pos="0"/>
        </w:tabs>
        <w:spacing w:before="159"/>
        <w:ind w:left="-709" w:firstLine="404"/>
        <w:rPr>
          <w:b/>
        </w:rPr>
      </w:pPr>
      <w:r>
        <w:rPr>
          <w:b/>
          <w:spacing w:val="-2"/>
          <w:w w:val="110"/>
        </w:rPr>
        <w:t>Apologies:</w:t>
      </w:r>
      <w:r w:rsidR="0082671B">
        <w:rPr>
          <w:b/>
          <w:spacing w:val="-2"/>
          <w:w w:val="110"/>
        </w:rPr>
        <w:t xml:space="preserve"> </w:t>
      </w:r>
      <w:r w:rsidR="00703AEF">
        <w:rPr>
          <w:b/>
          <w:spacing w:val="-2"/>
          <w:w w:val="110"/>
        </w:rPr>
        <w:t>Heather Brady</w:t>
      </w:r>
    </w:p>
    <w:p w14:paraId="26619940" w14:textId="43DFD39C" w:rsidR="00703AEF" w:rsidRPr="0082671B" w:rsidRDefault="00703AEF" w:rsidP="008F3B73">
      <w:pPr>
        <w:pStyle w:val="ListParagraph"/>
        <w:numPr>
          <w:ilvl w:val="0"/>
          <w:numId w:val="1"/>
        </w:numPr>
        <w:tabs>
          <w:tab w:val="left" w:pos="0"/>
          <w:tab w:val="left" w:pos="709"/>
          <w:tab w:val="left" w:pos="993"/>
          <w:tab w:val="left" w:pos="1134"/>
          <w:tab w:val="left" w:pos="1418"/>
          <w:tab w:val="left" w:pos="1985"/>
        </w:tabs>
        <w:spacing w:before="159"/>
        <w:ind w:hanging="732"/>
        <w:rPr>
          <w:bCs/>
        </w:rPr>
      </w:pPr>
      <w:r w:rsidRPr="0082671B">
        <w:rPr>
          <w:b/>
          <w:spacing w:val="-2"/>
          <w:w w:val="110"/>
        </w:rPr>
        <w:t>In Attend</w:t>
      </w:r>
      <w:r w:rsidR="0082671B" w:rsidRPr="0082671B">
        <w:rPr>
          <w:b/>
          <w:spacing w:val="-2"/>
          <w:w w:val="110"/>
        </w:rPr>
        <w:t>a</w:t>
      </w:r>
      <w:r w:rsidRPr="0082671B">
        <w:rPr>
          <w:b/>
          <w:spacing w:val="-2"/>
          <w:w w:val="110"/>
        </w:rPr>
        <w:t>nce:</w:t>
      </w:r>
      <w:r w:rsidR="0082671B">
        <w:rPr>
          <w:b/>
          <w:spacing w:val="-2"/>
          <w:w w:val="110"/>
        </w:rPr>
        <w:t xml:space="preserve"> </w:t>
      </w:r>
      <w:proofErr w:type="gramStart"/>
      <w:r w:rsidRPr="0082671B">
        <w:rPr>
          <w:bCs/>
          <w:spacing w:val="-2"/>
          <w:w w:val="110"/>
        </w:rPr>
        <w:t>Chair</w:t>
      </w:r>
      <w:proofErr w:type="gramEnd"/>
      <w:r w:rsidRPr="0082671B">
        <w:rPr>
          <w:bCs/>
          <w:spacing w:val="-2"/>
          <w:w w:val="110"/>
        </w:rPr>
        <w:t xml:space="preserve"> Peter Connell (PC), Deputy </w:t>
      </w:r>
      <w:proofErr w:type="gramStart"/>
      <w:r w:rsidRPr="0082671B">
        <w:rPr>
          <w:bCs/>
          <w:spacing w:val="-2"/>
          <w:w w:val="110"/>
        </w:rPr>
        <w:t>Chair</w:t>
      </w:r>
      <w:proofErr w:type="gramEnd"/>
      <w:r w:rsidRPr="0082671B">
        <w:rPr>
          <w:bCs/>
          <w:spacing w:val="-2"/>
          <w:w w:val="110"/>
        </w:rPr>
        <w:t xml:space="preserve"> Keith Farrow (KF). Hilliard Brewitt</w:t>
      </w:r>
      <w:r w:rsidR="0082671B" w:rsidRPr="0082671B">
        <w:rPr>
          <w:bCs/>
          <w:spacing w:val="-2"/>
          <w:w w:val="110"/>
        </w:rPr>
        <w:tab/>
      </w:r>
      <w:r w:rsidR="0082671B" w:rsidRPr="0082671B">
        <w:rPr>
          <w:bCs/>
          <w:spacing w:val="-2"/>
          <w:w w:val="110"/>
        </w:rPr>
        <w:tab/>
      </w:r>
      <w:r w:rsidR="0082671B" w:rsidRPr="0082671B">
        <w:rPr>
          <w:bCs/>
          <w:spacing w:val="-2"/>
          <w:w w:val="110"/>
        </w:rPr>
        <w:tab/>
      </w:r>
      <w:r w:rsidR="0082671B" w:rsidRPr="0082671B">
        <w:rPr>
          <w:bCs/>
          <w:spacing w:val="-2"/>
          <w:w w:val="110"/>
        </w:rPr>
        <w:tab/>
      </w:r>
      <w:r w:rsidR="0082671B" w:rsidRPr="0082671B">
        <w:rPr>
          <w:bCs/>
          <w:spacing w:val="-2"/>
          <w:w w:val="110"/>
        </w:rPr>
        <w:tab/>
      </w:r>
      <w:r w:rsidR="0082671B" w:rsidRPr="0082671B">
        <w:rPr>
          <w:bCs/>
          <w:spacing w:val="-2"/>
          <w:w w:val="110"/>
        </w:rPr>
        <w:tab/>
        <w:t xml:space="preserve"> (</w:t>
      </w:r>
      <w:r w:rsidRPr="0082671B">
        <w:rPr>
          <w:bCs/>
          <w:spacing w:val="-2"/>
          <w:w w:val="110"/>
        </w:rPr>
        <w:t>HTB), Martin Hudson (MH) &amp; Clerk Rod Angood (RA)</w:t>
      </w:r>
    </w:p>
    <w:p w14:paraId="64E0BEC0" w14:textId="358C2E55" w:rsidR="00E218F1" w:rsidRPr="00E218F1" w:rsidRDefault="00000000" w:rsidP="00E218F1">
      <w:pPr>
        <w:pStyle w:val="ListParagraph"/>
        <w:numPr>
          <w:ilvl w:val="0"/>
          <w:numId w:val="1"/>
        </w:numPr>
        <w:tabs>
          <w:tab w:val="left" w:pos="0"/>
          <w:tab w:val="left" w:pos="709"/>
        </w:tabs>
        <w:ind w:left="88" w:hanging="359"/>
        <w:rPr>
          <w:bCs/>
        </w:rPr>
      </w:pPr>
      <w:r w:rsidRPr="0082671B">
        <w:rPr>
          <w:b/>
          <w:w w:val="110"/>
        </w:rPr>
        <w:t>Declarations</w:t>
      </w:r>
      <w:r w:rsidRPr="0082671B">
        <w:rPr>
          <w:b/>
          <w:spacing w:val="-9"/>
          <w:w w:val="110"/>
        </w:rPr>
        <w:t xml:space="preserve"> </w:t>
      </w:r>
      <w:r w:rsidRPr="0082671B">
        <w:rPr>
          <w:b/>
          <w:w w:val="110"/>
        </w:rPr>
        <w:t>o</w:t>
      </w:r>
      <w:r w:rsidR="00703AEF" w:rsidRPr="0082671B">
        <w:rPr>
          <w:b/>
          <w:w w:val="110"/>
        </w:rPr>
        <w:t>f</w:t>
      </w:r>
      <w:r w:rsidR="0082671B" w:rsidRPr="0082671B">
        <w:rPr>
          <w:b/>
          <w:w w:val="110"/>
        </w:rPr>
        <w:t xml:space="preserve"> </w:t>
      </w:r>
      <w:r w:rsidRPr="0082671B">
        <w:rPr>
          <w:b/>
          <w:spacing w:val="-2"/>
          <w:w w:val="110"/>
        </w:rPr>
        <w:t>Interest:</w:t>
      </w:r>
      <w:r w:rsidR="00703AEF" w:rsidRPr="0082671B">
        <w:rPr>
          <w:b/>
          <w:spacing w:val="-2"/>
          <w:w w:val="110"/>
        </w:rPr>
        <w:tab/>
      </w:r>
      <w:r w:rsidR="00703AEF" w:rsidRPr="0082671B">
        <w:rPr>
          <w:bCs/>
          <w:spacing w:val="-2"/>
          <w:w w:val="110"/>
        </w:rPr>
        <w:t>None</w:t>
      </w:r>
    </w:p>
    <w:p w14:paraId="19AD4C74" w14:textId="32438F64" w:rsidR="001E010C" w:rsidRPr="00E218F1" w:rsidRDefault="00000000" w:rsidP="00E218F1">
      <w:pPr>
        <w:pStyle w:val="ListParagraph"/>
        <w:numPr>
          <w:ilvl w:val="0"/>
          <w:numId w:val="1"/>
        </w:numPr>
        <w:tabs>
          <w:tab w:val="left" w:pos="0"/>
          <w:tab w:val="left" w:pos="709"/>
        </w:tabs>
        <w:ind w:left="88" w:hanging="359"/>
        <w:rPr>
          <w:bCs/>
          <w:sz w:val="20"/>
          <w:szCs w:val="20"/>
        </w:rPr>
      </w:pPr>
      <w:r w:rsidRPr="00E218F1">
        <w:rPr>
          <w:b/>
          <w:w w:val="105"/>
        </w:rPr>
        <w:t>Approval</w:t>
      </w:r>
      <w:r w:rsidRPr="00E218F1">
        <w:rPr>
          <w:b/>
          <w:spacing w:val="-7"/>
          <w:w w:val="105"/>
        </w:rPr>
        <w:t xml:space="preserve"> </w:t>
      </w:r>
      <w:r w:rsidRPr="00E218F1">
        <w:rPr>
          <w:b/>
          <w:w w:val="105"/>
        </w:rPr>
        <w:t>of</w:t>
      </w:r>
      <w:r w:rsidRPr="00E218F1">
        <w:rPr>
          <w:b/>
          <w:spacing w:val="-6"/>
          <w:w w:val="105"/>
        </w:rPr>
        <w:t xml:space="preserve"> </w:t>
      </w:r>
      <w:r w:rsidRPr="00E218F1">
        <w:rPr>
          <w:b/>
          <w:w w:val="105"/>
        </w:rPr>
        <w:t>OGM</w:t>
      </w:r>
      <w:r w:rsidRPr="00E218F1">
        <w:rPr>
          <w:b/>
          <w:spacing w:val="-6"/>
          <w:w w:val="105"/>
        </w:rPr>
        <w:t xml:space="preserve"> </w:t>
      </w:r>
      <w:r w:rsidRPr="00E218F1">
        <w:rPr>
          <w:b/>
          <w:w w:val="105"/>
        </w:rPr>
        <w:t>Minutes</w:t>
      </w:r>
      <w:r w:rsidRPr="00E218F1">
        <w:rPr>
          <w:b/>
          <w:spacing w:val="-5"/>
          <w:w w:val="105"/>
        </w:rPr>
        <w:t xml:space="preserve"> </w:t>
      </w:r>
      <w:r w:rsidRPr="00E218F1">
        <w:rPr>
          <w:b/>
          <w:w w:val="105"/>
        </w:rPr>
        <w:t>of</w:t>
      </w:r>
      <w:r w:rsidRPr="00E218F1">
        <w:rPr>
          <w:b/>
          <w:spacing w:val="-5"/>
          <w:w w:val="105"/>
        </w:rPr>
        <w:t xml:space="preserve"> </w:t>
      </w:r>
      <w:r w:rsidRPr="00E218F1">
        <w:rPr>
          <w:b/>
          <w:w w:val="105"/>
        </w:rPr>
        <w:t>24</w:t>
      </w:r>
      <w:proofErr w:type="spellStart"/>
      <w:r w:rsidRPr="00E218F1">
        <w:rPr>
          <w:b/>
          <w:w w:val="105"/>
          <w:position w:val="8"/>
          <w:sz w:val="13"/>
        </w:rPr>
        <w:t>th</w:t>
      </w:r>
      <w:proofErr w:type="spellEnd"/>
      <w:r w:rsidRPr="00E218F1">
        <w:rPr>
          <w:b/>
          <w:spacing w:val="12"/>
          <w:w w:val="105"/>
          <w:position w:val="8"/>
          <w:sz w:val="13"/>
        </w:rPr>
        <w:t xml:space="preserve"> </w:t>
      </w:r>
      <w:r w:rsidRPr="00E218F1">
        <w:rPr>
          <w:b/>
          <w:spacing w:val="-2"/>
          <w:w w:val="105"/>
        </w:rPr>
        <w:t>March</w:t>
      </w:r>
      <w:r w:rsidR="00703AEF" w:rsidRPr="00E218F1">
        <w:rPr>
          <w:b/>
          <w:spacing w:val="-2"/>
          <w:w w:val="105"/>
        </w:rPr>
        <w:t xml:space="preserve"> </w:t>
      </w:r>
      <w:r w:rsidR="00703AEF" w:rsidRPr="00E218F1">
        <w:rPr>
          <w:bCs/>
          <w:spacing w:val="-2"/>
          <w:w w:val="105"/>
        </w:rPr>
        <w:t xml:space="preserve">– </w:t>
      </w:r>
      <w:r w:rsidR="00703AEF" w:rsidRPr="00E218F1">
        <w:rPr>
          <w:bCs/>
          <w:spacing w:val="-2"/>
          <w:w w:val="105"/>
          <w:sz w:val="20"/>
          <w:szCs w:val="20"/>
        </w:rPr>
        <w:t>ratified – RA to publish</w:t>
      </w:r>
    </w:p>
    <w:p w14:paraId="10853CFF" w14:textId="20161D72" w:rsidR="0082671B" w:rsidRPr="008F3B73" w:rsidRDefault="00E218F1" w:rsidP="00E218F1">
      <w:pPr>
        <w:pStyle w:val="ListParagraph"/>
        <w:numPr>
          <w:ilvl w:val="0"/>
          <w:numId w:val="1"/>
        </w:numPr>
        <w:tabs>
          <w:tab w:val="left" w:pos="0"/>
        </w:tabs>
        <w:spacing w:before="19"/>
        <w:ind w:left="447" w:hanging="731"/>
        <w:rPr>
          <w:b/>
        </w:rPr>
      </w:pPr>
      <w:r w:rsidRPr="00E218F1">
        <w:rPr>
          <w:b/>
          <w:spacing w:val="-2"/>
          <w:w w:val="115"/>
          <w:sz w:val="20"/>
          <w:szCs w:val="20"/>
        </w:rPr>
        <w:t xml:space="preserve"> </w:t>
      </w:r>
      <w:r w:rsidRPr="008F3B73">
        <w:rPr>
          <w:b/>
          <w:spacing w:val="-2"/>
          <w:w w:val="115"/>
        </w:rPr>
        <w:t>Business:</w:t>
      </w:r>
    </w:p>
    <w:p w14:paraId="44A8E768" w14:textId="77777777" w:rsidR="00F306A3" w:rsidRDefault="00000000" w:rsidP="00F306A3">
      <w:pPr>
        <w:pStyle w:val="ListParagraph"/>
        <w:numPr>
          <w:ilvl w:val="1"/>
          <w:numId w:val="1"/>
        </w:numPr>
        <w:tabs>
          <w:tab w:val="left" w:pos="993"/>
        </w:tabs>
        <w:spacing w:before="19"/>
        <w:ind w:hanging="1016"/>
        <w:rPr>
          <w:b/>
        </w:rPr>
      </w:pPr>
      <w:r w:rsidRPr="0082671B">
        <w:rPr>
          <w:b/>
        </w:rPr>
        <w:t>Report</w:t>
      </w:r>
      <w:r w:rsidRPr="0082671B">
        <w:rPr>
          <w:b/>
          <w:spacing w:val="33"/>
        </w:rPr>
        <w:t xml:space="preserve"> </w:t>
      </w:r>
      <w:r w:rsidRPr="0082671B">
        <w:rPr>
          <w:b/>
        </w:rPr>
        <w:t>and</w:t>
      </w:r>
      <w:r w:rsidRPr="0082671B">
        <w:rPr>
          <w:b/>
          <w:spacing w:val="32"/>
        </w:rPr>
        <w:t xml:space="preserve"> </w:t>
      </w:r>
      <w:r w:rsidRPr="0082671B">
        <w:rPr>
          <w:b/>
        </w:rPr>
        <w:t>ratification</w:t>
      </w:r>
      <w:r w:rsidRPr="0082671B">
        <w:rPr>
          <w:b/>
          <w:spacing w:val="36"/>
        </w:rPr>
        <w:t xml:space="preserve"> </w:t>
      </w:r>
      <w:r w:rsidRPr="0082671B">
        <w:rPr>
          <w:b/>
        </w:rPr>
        <w:t>of</w:t>
      </w:r>
      <w:r w:rsidRPr="0082671B">
        <w:rPr>
          <w:b/>
          <w:spacing w:val="36"/>
        </w:rPr>
        <w:t xml:space="preserve"> </w:t>
      </w:r>
      <w:r w:rsidRPr="0082671B">
        <w:rPr>
          <w:b/>
        </w:rPr>
        <w:t>matters</w:t>
      </w:r>
      <w:r w:rsidRPr="0082671B">
        <w:rPr>
          <w:b/>
          <w:spacing w:val="38"/>
        </w:rPr>
        <w:t xml:space="preserve"> </w:t>
      </w:r>
      <w:r w:rsidRPr="0082671B">
        <w:rPr>
          <w:b/>
        </w:rPr>
        <w:t>arising</w:t>
      </w:r>
      <w:r w:rsidRPr="0082671B">
        <w:rPr>
          <w:b/>
          <w:spacing w:val="30"/>
        </w:rPr>
        <w:t xml:space="preserve"> </w:t>
      </w:r>
      <w:r w:rsidRPr="0082671B">
        <w:rPr>
          <w:b/>
        </w:rPr>
        <w:t>after</w:t>
      </w:r>
      <w:r w:rsidRPr="0082671B">
        <w:rPr>
          <w:b/>
          <w:spacing w:val="32"/>
        </w:rPr>
        <w:t xml:space="preserve"> </w:t>
      </w:r>
      <w:r w:rsidRPr="0082671B">
        <w:rPr>
          <w:b/>
        </w:rPr>
        <w:t>24</w:t>
      </w:r>
      <w:proofErr w:type="spellStart"/>
      <w:r w:rsidRPr="0082671B">
        <w:rPr>
          <w:b/>
          <w:position w:val="8"/>
          <w:sz w:val="13"/>
        </w:rPr>
        <w:t>th</w:t>
      </w:r>
      <w:proofErr w:type="spellEnd"/>
      <w:r w:rsidRPr="0082671B">
        <w:rPr>
          <w:b/>
          <w:spacing w:val="55"/>
          <w:position w:val="8"/>
          <w:sz w:val="13"/>
        </w:rPr>
        <w:t xml:space="preserve"> </w:t>
      </w:r>
      <w:r w:rsidRPr="0082671B">
        <w:rPr>
          <w:b/>
        </w:rPr>
        <w:t>March</w:t>
      </w:r>
      <w:r w:rsidRPr="0082671B">
        <w:rPr>
          <w:b/>
          <w:spacing w:val="30"/>
        </w:rPr>
        <w:t xml:space="preserve"> </w:t>
      </w:r>
      <w:r w:rsidRPr="0082671B">
        <w:rPr>
          <w:b/>
        </w:rPr>
        <w:t>meeting</w:t>
      </w:r>
      <w:r w:rsidR="00F306A3">
        <w:rPr>
          <w:b/>
        </w:rPr>
        <w:t>.</w:t>
      </w:r>
    </w:p>
    <w:p w14:paraId="2635FAE2" w14:textId="77777777" w:rsidR="00745030" w:rsidRDefault="00745030" w:rsidP="00745030">
      <w:pPr>
        <w:pStyle w:val="ListParagraph"/>
        <w:tabs>
          <w:tab w:val="left" w:pos="993"/>
        </w:tabs>
        <w:spacing w:before="19"/>
        <w:ind w:left="1442" w:firstLine="0"/>
        <w:rPr>
          <w:b/>
        </w:rPr>
      </w:pPr>
    </w:p>
    <w:p w14:paraId="6C8C383F" w14:textId="102D02EB" w:rsidR="00F306A3" w:rsidRPr="00CD1EB4" w:rsidRDefault="00F306A3" w:rsidP="0086129C">
      <w:pPr>
        <w:pStyle w:val="ListParagraph"/>
        <w:numPr>
          <w:ilvl w:val="2"/>
          <w:numId w:val="3"/>
        </w:numPr>
        <w:tabs>
          <w:tab w:val="left" w:pos="0"/>
          <w:tab w:val="left" w:pos="851"/>
          <w:tab w:val="left" w:pos="993"/>
        </w:tabs>
        <w:spacing w:before="19"/>
        <w:ind w:left="1418" w:hanging="851"/>
        <w:rPr>
          <w:b/>
        </w:rPr>
      </w:pPr>
      <w:r w:rsidRPr="00F306A3">
        <w:rPr>
          <w:b/>
        </w:rPr>
        <w:t xml:space="preserve">TMPC to determine its position w.r.t Thrift Solar Farm </w:t>
      </w:r>
      <w:r>
        <w:rPr>
          <w:b/>
        </w:rPr>
        <w:t>–</w:t>
      </w:r>
      <w:r w:rsidRPr="00F306A3">
        <w:rPr>
          <w:bCs/>
        </w:rPr>
        <w:t xml:space="preserve"> </w:t>
      </w:r>
      <w:r w:rsidR="0086129C" w:rsidRPr="000A4DBE">
        <w:rPr>
          <w:b/>
          <w:i/>
          <w:iCs/>
          <w:color w:val="EE0000"/>
        </w:rPr>
        <w:t>Decision</w:t>
      </w:r>
      <w:r w:rsidR="0086129C">
        <w:rPr>
          <w:bCs/>
        </w:rPr>
        <w:t xml:space="preserve"> - </w:t>
      </w:r>
      <w:r w:rsidRPr="00F306A3">
        <w:rPr>
          <w:bCs/>
        </w:rPr>
        <w:t>TMPC to support STPC</w:t>
      </w:r>
      <w:r w:rsidR="00CD1EB4">
        <w:rPr>
          <w:bCs/>
        </w:rPr>
        <w:t xml:space="preserve"> </w:t>
      </w:r>
      <w:r w:rsidR="0086129C">
        <w:rPr>
          <w:bCs/>
        </w:rPr>
        <w:t>in all possible ways</w:t>
      </w:r>
      <w:r w:rsidR="00A75EBC">
        <w:rPr>
          <w:bCs/>
        </w:rPr>
        <w:t xml:space="preserve"> and to prepare its own submission against the anticipated Planning Application.</w:t>
      </w:r>
    </w:p>
    <w:p w14:paraId="766B502F" w14:textId="7FAB5CBB" w:rsidR="00CD1EB4" w:rsidRDefault="00CD1EB4" w:rsidP="0086129C">
      <w:pPr>
        <w:pStyle w:val="ListParagraph"/>
        <w:numPr>
          <w:ilvl w:val="2"/>
          <w:numId w:val="3"/>
        </w:numPr>
        <w:tabs>
          <w:tab w:val="left" w:pos="709"/>
          <w:tab w:val="left" w:pos="851"/>
          <w:tab w:val="left" w:pos="993"/>
        </w:tabs>
        <w:spacing w:before="19"/>
        <w:ind w:left="1418" w:hanging="851"/>
        <w:rPr>
          <w:b/>
        </w:rPr>
      </w:pPr>
      <w:r>
        <w:rPr>
          <w:b/>
        </w:rPr>
        <w:t>Birchfield Site</w:t>
      </w:r>
      <w:r w:rsidR="0086129C">
        <w:rPr>
          <w:b/>
        </w:rPr>
        <w:t xml:space="preserve"> – </w:t>
      </w:r>
      <w:r w:rsidR="0086129C" w:rsidRPr="000263C8">
        <w:rPr>
          <w:b/>
          <w:i/>
          <w:iCs/>
          <w:color w:val="EE0000"/>
        </w:rPr>
        <w:t>Decision</w:t>
      </w:r>
      <w:r w:rsidR="0086129C" w:rsidRPr="0086129C">
        <w:rPr>
          <w:bCs/>
        </w:rPr>
        <w:t xml:space="preserve"> </w:t>
      </w:r>
      <w:r w:rsidR="0086129C">
        <w:rPr>
          <w:bCs/>
        </w:rPr>
        <w:t xml:space="preserve">- </w:t>
      </w:r>
      <w:r w:rsidR="0086129C" w:rsidRPr="0086129C">
        <w:rPr>
          <w:bCs/>
        </w:rPr>
        <w:t xml:space="preserve">PC to compile a factual summary of all relevant events and </w:t>
      </w:r>
      <w:r w:rsidR="0086129C">
        <w:rPr>
          <w:bCs/>
        </w:rPr>
        <w:t xml:space="preserve">    </w:t>
      </w:r>
      <w:r w:rsidR="0086129C" w:rsidRPr="0086129C">
        <w:rPr>
          <w:bCs/>
        </w:rPr>
        <w:t>approximate times for submission to Alex Burghart and others</w:t>
      </w:r>
      <w:r w:rsidR="0086129C">
        <w:rPr>
          <w:b/>
        </w:rPr>
        <w:t>.</w:t>
      </w:r>
    </w:p>
    <w:p w14:paraId="44C91377" w14:textId="77777777" w:rsidR="00745030" w:rsidRPr="00F306A3" w:rsidRDefault="00745030" w:rsidP="00745030">
      <w:pPr>
        <w:pStyle w:val="ListParagraph"/>
        <w:tabs>
          <w:tab w:val="left" w:pos="709"/>
          <w:tab w:val="left" w:pos="851"/>
          <w:tab w:val="left" w:pos="993"/>
        </w:tabs>
        <w:spacing w:before="19"/>
        <w:ind w:left="1418" w:firstLine="0"/>
        <w:rPr>
          <w:b/>
        </w:rPr>
      </w:pPr>
    </w:p>
    <w:p w14:paraId="1F8762DB" w14:textId="3913FF84" w:rsidR="0059724E" w:rsidRDefault="00000000" w:rsidP="0059724E">
      <w:pPr>
        <w:pStyle w:val="ListParagraph"/>
        <w:numPr>
          <w:ilvl w:val="1"/>
          <w:numId w:val="3"/>
        </w:numPr>
        <w:tabs>
          <w:tab w:val="left" w:pos="993"/>
          <w:tab w:val="left" w:pos="1134"/>
          <w:tab w:val="left" w:pos="1560"/>
        </w:tabs>
        <w:ind w:left="993" w:hanging="567"/>
        <w:rPr>
          <w:rFonts w:asciiTheme="minorHAnsi" w:hAnsiTheme="minorHAnsi" w:cstheme="minorHAnsi"/>
          <w:bCs/>
        </w:rPr>
      </w:pPr>
      <w:r w:rsidRPr="00745030">
        <w:rPr>
          <w:b/>
        </w:rPr>
        <w:t>Summer</w:t>
      </w:r>
      <w:r w:rsidRPr="00745030">
        <w:rPr>
          <w:b/>
          <w:spacing w:val="29"/>
        </w:rPr>
        <w:t xml:space="preserve"> </w:t>
      </w:r>
      <w:r w:rsidRPr="00745030">
        <w:rPr>
          <w:b/>
        </w:rPr>
        <w:t>Event</w:t>
      </w:r>
      <w:r w:rsidR="00B70A5F">
        <w:rPr>
          <w:b/>
        </w:rPr>
        <w:t>s</w:t>
      </w:r>
      <w:r w:rsidRPr="00745030">
        <w:rPr>
          <w:b/>
          <w:spacing w:val="32"/>
        </w:rPr>
        <w:t xml:space="preserve"> </w:t>
      </w:r>
      <w:r w:rsidRPr="00745030">
        <w:rPr>
          <w:b/>
        </w:rPr>
        <w:t>–</w:t>
      </w:r>
      <w:r w:rsidR="0059724E">
        <w:rPr>
          <w:b/>
        </w:rPr>
        <w:t xml:space="preserve"> </w:t>
      </w:r>
      <w:r w:rsidR="00B70A5F">
        <w:rPr>
          <w:b/>
        </w:rPr>
        <w:t xml:space="preserve">North Farm Event - </w:t>
      </w:r>
      <w:r w:rsidR="00411E02" w:rsidRPr="0059724E">
        <w:rPr>
          <w:bCs/>
          <w:spacing w:val="22"/>
        </w:rPr>
        <w:t xml:space="preserve">All </w:t>
      </w:r>
      <w:r w:rsidR="00745030" w:rsidRPr="0059724E">
        <w:rPr>
          <w:bCs/>
          <w:spacing w:val="22"/>
        </w:rPr>
        <w:t>early</w:t>
      </w:r>
      <w:r w:rsidR="00411E02" w:rsidRPr="0059724E">
        <w:rPr>
          <w:bCs/>
          <w:spacing w:val="22"/>
        </w:rPr>
        <w:t xml:space="preserve"> arrangements </w:t>
      </w:r>
      <w:r w:rsidR="00745030" w:rsidRPr="0059724E">
        <w:rPr>
          <w:bCs/>
          <w:spacing w:val="22"/>
        </w:rPr>
        <w:t>completed</w:t>
      </w:r>
      <w:r w:rsidR="00411E02" w:rsidRPr="0059724E">
        <w:rPr>
          <w:bCs/>
          <w:spacing w:val="22"/>
        </w:rPr>
        <w:t xml:space="preserve">, entertainment booked, first circulation of invitations done and beverages arranged. TMPC to ask Pat Coy to oversee golf chipping event, RA to run horse racing event and </w:t>
      </w:r>
      <w:r w:rsidR="00E218F1" w:rsidRPr="0059724E">
        <w:rPr>
          <w:bCs/>
          <w:spacing w:val="22"/>
        </w:rPr>
        <w:t>H</w:t>
      </w:r>
      <w:r w:rsidR="00411E02" w:rsidRPr="0059724E">
        <w:rPr>
          <w:bCs/>
          <w:spacing w:val="22"/>
        </w:rPr>
        <w:t>e</w:t>
      </w:r>
      <w:r w:rsidR="00E218F1" w:rsidRPr="0059724E">
        <w:rPr>
          <w:bCs/>
          <w:spacing w:val="22"/>
        </w:rPr>
        <w:t>a</w:t>
      </w:r>
      <w:r w:rsidR="00411E02" w:rsidRPr="0059724E">
        <w:rPr>
          <w:bCs/>
          <w:spacing w:val="22"/>
        </w:rPr>
        <w:t>ther Brady to oversee croquet event.</w:t>
      </w:r>
      <w:r w:rsidR="00411E02" w:rsidRPr="008F3B73">
        <w:rPr>
          <w:rFonts w:asciiTheme="minorHAnsi" w:hAnsiTheme="minorHAnsi" w:cstheme="minorHAnsi"/>
          <w:b/>
        </w:rPr>
        <w:t xml:space="preserve"> </w:t>
      </w:r>
      <w:r w:rsidR="008F3B73" w:rsidRPr="0059724E">
        <w:rPr>
          <w:rFonts w:asciiTheme="minorHAnsi" w:hAnsiTheme="minorHAnsi" w:cstheme="minorHAnsi"/>
          <w:bCs/>
        </w:rPr>
        <w:t>Risk Assessment will be undertaken closer to the date of the event. Second notification and invitation to be circulated</w:t>
      </w:r>
      <w:r w:rsidR="0059724E" w:rsidRPr="0059724E">
        <w:rPr>
          <w:rFonts w:asciiTheme="minorHAnsi" w:hAnsiTheme="minorHAnsi" w:cstheme="minorHAnsi"/>
          <w:bCs/>
        </w:rPr>
        <w:t xml:space="preserve"> through all channels closer to the date.</w:t>
      </w:r>
      <w:r w:rsidR="0059724E">
        <w:rPr>
          <w:rFonts w:asciiTheme="minorHAnsi" w:hAnsiTheme="minorHAnsi" w:cstheme="minorHAnsi"/>
          <w:bCs/>
        </w:rPr>
        <w:t xml:space="preserve"> </w:t>
      </w:r>
    </w:p>
    <w:p w14:paraId="5CEB3841" w14:textId="4C32DF6F" w:rsidR="00E218F1" w:rsidRDefault="0059724E" w:rsidP="0059724E">
      <w:pPr>
        <w:pStyle w:val="ListParagraph"/>
        <w:tabs>
          <w:tab w:val="left" w:pos="851"/>
          <w:tab w:val="left" w:pos="993"/>
          <w:tab w:val="left" w:pos="1134"/>
          <w:tab w:val="left" w:pos="1560"/>
        </w:tabs>
        <w:ind w:left="993" w:firstLine="0"/>
        <w:rPr>
          <w:rFonts w:asciiTheme="minorHAnsi" w:hAnsiTheme="minorHAnsi" w:cstheme="minorHAnsi"/>
          <w:bCs/>
        </w:rPr>
      </w:pPr>
      <w:r w:rsidRPr="000263C8">
        <w:rPr>
          <w:b/>
          <w:i/>
          <w:iCs/>
          <w:color w:val="EE0000"/>
        </w:rPr>
        <w:t>Decision</w:t>
      </w:r>
      <w:r>
        <w:rPr>
          <w:b/>
        </w:rPr>
        <w:t xml:space="preserve"> -</w:t>
      </w:r>
      <w:r>
        <w:rPr>
          <w:rFonts w:asciiTheme="minorHAnsi" w:hAnsiTheme="minorHAnsi" w:cstheme="minorHAnsi"/>
          <w:bCs/>
        </w:rPr>
        <w:t xml:space="preserve"> </w:t>
      </w:r>
      <w:r w:rsidRPr="002D7307">
        <w:rPr>
          <w:bCs/>
        </w:rPr>
        <w:t>Percentage taken from Horse Racing for nominated charity to be 20%.</w:t>
      </w:r>
    </w:p>
    <w:p w14:paraId="205B2E85" w14:textId="25877E3D" w:rsidR="00B70A5F" w:rsidRPr="00B70A5F" w:rsidRDefault="00B70A5F" w:rsidP="0059724E">
      <w:pPr>
        <w:pStyle w:val="ListParagraph"/>
        <w:tabs>
          <w:tab w:val="left" w:pos="851"/>
          <w:tab w:val="left" w:pos="993"/>
          <w:tab w:val="left" w:pos="1134"/>
          <w:tab w:val="left" w:pos="1560"/>
        </w:tabs>
        <w:ind w:left="993" w:firstLine="0"/>
        <w:rPr>
          <w:rFonts w:asciiTheme="minorHAnsi" w:hAnsiTheme="minorHAnsi" w:cstheme="minorHAnsi"/>
          <w:bCs/>
        </w:rPr>
      </w:pPr>
      <w:r>
        <w:rPr>
          <w:b/>
        </w:rPr>
        <w:t xml:space="preserve">Next Litter Pick – </w:t>
      </w:r>
      <w:r w:rsidRPr="00B70A5F">
        <w:rPr>
          <w:b/>
          <w:i/>
          <w:iCs/>
          <w:color w:val="EE0000"/>
        </w:rPr>
        <w:t>Decision</w:t>
      </w:r>
      <w:r>
        <w:rPr>
          <w:b/>
        </w:rPr>
        <w:t xml:space="preserve"> - </w:t>
      </w:r>
      <w:r w:rsidRPr="00B70A5F">
        <w:rPr>
          <w:bCs/>
        </w:rPr>
        <w:t>HB confirmed all arrangements in place for next Litter Pick to be held on 13</w:t>
      </w:r>
      <w:r w:rsidRPr="00B70A5F">
        <w:rPr>
          <w:bCs/>
          <w:vertAlign w:val="superscript"/>
        </w:rPr>
        <w:t>th</w:t>
      </w:r>
      <w:r w:rsidRPr="00B70A5F">
        <w:rPr>
          <w:bCs/>
        </w:rPr>
        <w:t xml:space="preserve"> July 2025.</w:t>
      </w:r>
    </w:p>
    <w:p w14:paraId="11B3DAB1" w14:textId="77777777" w:rsidR="00745030" w:rsidRPr="00745030" w:rsidRDefault="00745030" w:rsidP="00745030">
      <w:pPr>
        <w:pStyle w:val="ListParagraph"/>
        <w:tabs>
          <w:tab w:val="left" w:pos="993"/>
          <w:tab w:val="left" w:pos="1134"/>
          <w:tab w:val="left" w:pos="1560"/>
        </w:tabs>
        <w:ind w:left="567" w:firstLine="0"/>
        <w:rPr>
          <w:bCs/>
        </w:rPr>
      </w:pPr>
    </w:p>
    <w:p w14:paraId="3AE3C1B6" w14:textId="77777777" w:rsidR="00657B3D" w:rsidRDefault="00000000" w:rsidP="0059724E">
      <w:pPr>
        <w:pStyle w:val="ListParagraph"/>
        <w:numPr>
          <w:ilvl w:val="1"/>
          <w:numId w:val="3"/>
        </w:numPr>
        <w:tabs>
          <w:tab w:val="left" w:pos="567"/>
          <w:tab w:val="left" w:pos="1168"/>
          <w:tab w:val="left" w:pos="1560"/>
        </w:tabs>
        <w:ind w:left="993" w:hanging="567"/>
        <w:rPr>
          <w:bCs/>
          <w:spacing w:val="-10"/>
          <w:w w:val="110"/>
        </w:rPr>
      </w:pPr>
      <w:r w:rsidRPr="00745030">
        <w:rPr>
          <w:b/>
          <w:spacing w:val="-2"/>
          <w:w w:val="110"/>
        </w:rPr>
        <w:t>Village</w:t>
      </w:r>
      <w:r w:rsidRPr="00745030">
        <w:rPr>
          <w:b/>
          <w:spacing w:val="-7"/>
          <w:w w:val="110"/>
        </w:rPr>
        <w:t xml:space="preserve"> </w:t>
      </w:r>
      <w:r w:rsidRPr="00745030">
        <w:rPr>
          <w:b/>
          <w:spacing w:val="-2"/>
          <w:w w:val="110"/>
        </w:rPr>
        <w:t>Sign</w:t>
      </w:r>
      <w:r w:rsidRPr="00745030">
        <w:rPr>
          <w:b/>
          <w:spacing w:val="-5"/>
          <w:w w:val="110"/>
        </w:rPr>
        <w:t xml:space="preserve"> </w:t>
      </w:r>
      <w:r w:rsidRPr="00745030">
        <w:rPr>
          <w:b/>
          <w:spacing w:val="-2"/>
          <w:w w:val="110"/>
        </w:rPr>
        <w:t>–</w:t>
      </w:r>
      <w:r w:rsidRPr="00745030">
        <w:rPr>
          <w:b/>
          <w:spacing w:val="-10"/>
          <w:w w:val="110"/>
        </w:rPr>
        <w:t xml:space="preserve"> </w:t>
      </w:r>
      <w:r w:rsidR="0091726C">
        <w:rPr>
          <w:bCs/>
          <w:spacing w:val="-10"/>
          <w:w w:val="110"/>
        </w:rPr>
        <w:t xml:space="preserve">HTB updated TMPC on material proposals for the Village sign and anticipated costs. Discussion then centered on potential locations following an update from KF on possible locations given the potential multi-function aspirations (benches, planting </w:t>
      </w:r>
      <w:proofErr w:type="spellStart"/>
      <w:r w:rsidR="0091726C">
        <w:rPr>
          <w:bCs/>
          <w:spacing w:val="-10"/>
          <w:w w:val="110"/>
        </w:rPr>
        <w:t>etc</w:t>
      </w:r>
      <w:proofErr w:type="spellEnd"/>
      <w:r w:rsidR="0091726C">
        <w:rPr>
          <w:bCs/>
          <w:spacing w:val="-10"/>
          <w:w w:val="110"/>
        </w:rPr>
        <w:t xml:space="preserve">). </w:t>
      </w:r>
    </w:p>
    <w:p w14:paraId="63F3F67E" w14:textId="77777777" w:rsidR="00B7392D" w:rsidRDefault="00745030" w:rsidP="00657B3D">
      <w:pPr>
        <w:pStyle w:val="ListParagraph"/>
        <w:tabs>
          <w:tab w:val="left" w:pos="567"/>
          <w:tab w:val="left" w:pos="1168"/>
          <w:tab w:val="left" w:pos="1560"/>
        </w:tabs>
        <w:ind w:left="993" w:firstLine="0"/>
        <w:rPr>
          <w:bCs/>
          <w:spacing w:val="-10"/>
          <w:w w:val="110"/>
        </w:rPr>
      </w:pPr>
      <w:r w:rsidRPr="000263C8">
        <w:rPr>
          <w:b/>
          <w:i/>
          <w:iCs/>
          <w:color w:val="EE0000"/>
          <w:spacing w:val="-10"/>
          <w:w w:val="110"/>
        </w:rPr>
        <w:t>Decision</w:t>
      </w:r>
      <w:r w:rsidRPr="00745030">
        <w:rPr>
          <w:b/>
          <w:spacing w:val="-10"/>
          <w:w w:val="110"/>
        </w:rPr>
        <w:t xml:space="preserve"> - </w:t>
      </w:r>
      <w:r w:rsidR="00411E02" w:rsidRPr="00745030">
        <w:rPr>
          <w:bCs/>
          <w:spacing w:val="-10"/>
          <w:w w:val="110"/>
        </w:rPr>
        <w:t xml:space="preserve">Fabrication, preparation and installation held over </w:t>
      </w:r>
      <w:r w:rsidRPr="00745030">
        <w:rPr>
          <w:bCs/>
          <w:spacing w:val="-10"/>
          <w:w w:val="110"/>
        </w:rPr>
        <w:t xml:space="preserve">pending </w:t>
      </w:r>
      <w:r w:rsidR="00A75EBC">
        <w:rPr>
          <w:bCs/>
          <w:spacing w:val="-10"/>
          <w:w w:val="110"/>
        </w:rPr>
        <w:t xml:space="preserve">TMPC </w:t>
      </w:r>
      <w:r w:rsidRPr="00745030">
        <w:rPr>
          <w:bCs/>
          <w:spacing w:val="-10"/>
          <w:w w:val="110"/>
        </w:rPr>
        <w:t>agreement regarding location(s) can be reached</w:t>
      </w:r>
      <w:r w:rsidR="00A75EBC">
        <w:rPr>
          <w:bCs/>
          <w:spacing w:val="-10"/>
          <w:w w:val="110"/>
        </w:rPr>
        <w:t xml:space="preserve"> and any legal </w:t>
      </w:r>
      <w:r w:rsidR="000A4DBE">
        <w:rPr>
          <w:bCs/>
          <w:spacing w:val="-10"/>
          <w:w w:val="110"/>
        </w:rPr>
        <w:t>matters investigated.</w:t>
      </w:r>
      <w:r w:rsidRPr="00745030">
        <w:rPr>
          <w:bCs/>
          <w:spacing w:val="-10"/>
          <w:w w:val="110"/>
        </w:rPr>
        <w:t xml:space="preserve"> </w:t>
      </w:r>
    </w:p>
    <w:p w14:paraId="2005EFEE" w14:textId="14A2C568" w:rsidR="001E010C" w:rsidRPr="00745030" w:rsidRDefault="00B7392D" w:rsidP="00657B3D">
      <w:pPr>
        <w:pStyle w:val="ListParagraph"/>
        <w:tabs>
          <w:tab w:val="left" w:pos="567"/>
          <w:tab w:val="left" w:pos="1168"/>
          <w:tab w:val="left" w:pos="1560"/>
        </w:tabs>
        <w:ind w:left="993" w:firstLine="0"/>
        <w:rPr>
          <w:bCs/>
          <w:spacing w:val="-10"/>
          <w:w w:val="110"/>
        </w:rPr>
      </w:pPr>
      <w:r w:rsidRPr="00B7392D">
        <w:rPr>
          <w:b/>
          <w:i/>
          <w:iCs/>
          <w:color w:val="EE0000"/>
          <w:spacing w:val="-10"/>
          <w:w w:val="110"/>
        </w:rPr>
        <w:t>Decision</w:t>
      </w:r>
      <w:r>
        <w:rPr>
          <w:bCs/>
          <w:spacing w:val="-10"/>
          <w:w w:val="110"/>
        </w:rPr>
        <w:t xml:space="preserve"> – PC (via Land Registry) and KF to investigate status of the various potential sites.</w:t>
      </w:r>
    </w:p>
    <w:p w14:paraId="1110A101" w14:textId="77777777" w:rsidR="004156FE" w:rsidRPr="004156FE" w:rsidRDefault="004156FE" w:rsidP="00745030">
      <w:pPr>
        <w:pStyle w:val="ListParagraph"/>
        <w:rPr>
          <w:b/>
          <w:i/>
          <w:iCs/>
          <w:color w:val="00B0F0"/>
        </w:rPr>
      </w:pPr>
    </w:p>
    <w:p w14:paraId="327B1E25" w14:textId="3557536B" w:rsidR="0031774D" w:rsidRPr="0031774D" w:rsidRDefault="00000000" w:rsidP="00E77A05">
      <w:pPr>
        <w:pStyle w:val="ListParagraph"/>
        <w:numPr>
          <w:ilvl w:val="1"/>
          <w:numId w:val="3"/>
        </w:numPr>
        <w:tabs>
          <w:tab w:val="left" w:pos="567"/>
          <w:tab w:val="left" w:pos="993"/>
        </w:tabs>
        <w:spacing w:before="19"/>
        <w:ind w:left="993" w:hanging="567"/>
        <w:rPr>
          <w:bCs/>
        </w:rPr>
      </w:pPr>
      <w:r w:rsidRPr="00745030">
        <w:rPr>
          <w:b/>
          <w:w w:val="105"/>
        </w:rPr>
        <w:t>Planning</w:t>
      </w:r>
      <w:r w:rsidRPr="00745030">
        <w:rPr>
          <w:b/>
          <w:spacing w:val="4"/>
          <w:w w:val="105"/>
        </w:rPr>
        <w:t xml:space="preserve"> </w:t>
      </w:r>
      <w:r w:rsidRPr="00745030">
        <w:rPr>
          <w:b/>
          <w:w w:val="105"/>
        </w:rPr>
        <w:t>Update</w:t>
      </w:r>
      <w:r w:rsidRPr="00745030">
        <w:rPr>
          <w:b/>
          <w:spacing w:val="2"/>
          <w:w w:val="105"/>
        </w:rPr>
        <w:t xml:space="preserve"> </w:t>
      </w:r>
      <w:r w:rsidRPr="00745030">
        <w:rPr>
          <w:b/>
          <w:w w:val="105"/>
        </w:rPr>
        <w:t>–</w:t>
      </w:r>
      <w:r w:rsidRPr="00745030">
        <w:rPr>
          <w:b/>
          <w:spacing w:val="5"/>
          <w:w w:val="105"/>
        </w:rPr>
        <w:t xml:space="preserve"> </w:t>
      </w:r>
      <w:r w:rsidRPr="00E77A05">
        <w:rPr>
          <w:bCs/>
          <w:spacing w:val="-4"/>
          <w:w w:val="105"/>
        </w:rPr>
        <w:t>KF</w:t>
      </w:r>
      <w:r w:rsidR="00221D33" w:rsidRPr="00E77A05">
        <w:rPr>
          <w:bCs/>
          <w:spacing w:val="-4"/>
          <w:w w:val="105"/>
        </w:rPr>
        <w:t xml:space="preserve"> briefed TMPC that no local P</w:t>
      </w:r>
      <w:r w:rsidR="00E77A05" w:rsidRPr="00E77A05">
        <w:rPr>
          <w:bCs/>
          <w:spacing w:val="-4"/>
          <w:w w:val="105"/>
        </w:rPr>
        <w:t>la</w:t>
      </w:r>
      <w:r w:rsidR="00221D33" w:rsidRPr="00E77A05">
        <w:rPr>
          <w:bCs/>
          <w:spacing w:val="-4"/>
          <w:w w:val="105"/>
        </w:rPr>
        <w:t xml:space="preserve">nning Application </w:t>
      </w:r>
      <w:r w:rsidR="00E77A05" w:rsidRPr="00E77A05">
        <w:rPr>
          <w:bCs/>
          <w:spacing w:val="-4"/>
          <w:w w:val="105"/>
        </w:rPr>
        <w:t>N</w:t>
      </w:r>
      <w:r w:rsidR="00221D33" w:rsidRPr="00E77A05">
        <w:rPr>
          <w:bCs/>
          <w:spacing w:val="-4"/>
          <w:w w:val="105"/>
        </w:rPr>
        <w:t>otice</w:t>
      </w:r>
      <w:r w:rsidR="00E77A05" w:rsidRPr="00E77A05">
        <w:rPr>
          <w:bCs/>
          <w:spacing w:val="-4"/>
          <w:w w:val="105"/>
        </w:rPr>
        <w:t xml:space="preserve">s affecting the parish had arisen since the last OGM. He stressed however that the current focus had to be on responses to the </w:t>
      </w:r>
      <w:r w:rsidR="00A90EA0">
        <w:rPr>
          <w:bCs/>
          <w:spacing w:val="-4"/>
          <w:w w:val="105"/>
        </w:rPr>
        <w:t>T</w:t>
      </w:r>
      <w:r w:rsidR="00E77A05" w:rsidRPr="00E77A05">
        <w:rPr>
          <w:bCs/>
          <w:spacing w:val="-4"/>
          <w:w w:val="105"/>
        </w:rPr>
        <w:t>awney Common solar farm proposal. RA noted that he had picked up a new Planning Application Notice that morning (EPF/1062/25) of relevance to the solar farm case that bore a decision at EFDC level of “Disposed” and wondered what relevance that had to TMPC considerations about the solar farm.</w:t>
      </w:r>
      <w:r w:rsidR="00E2229B">
        <w:rPr>
          <w:bCs/>
          <w:spacing w:val="-4"/>
          <w:w w:val="105"/>
        </w:rPr>
        <w:t xml:space="preserve"> </w:t>
      </w:r>
    </w:p>
    <w:p w14:paraId="1ED2356F" w14:textId="3C2A0128" w:rsidR="001E010C" w:rsidRPr="00E2229B" w:rsidRDefault="00E2229B" w:rsidP="00A90EA0">
      <w:pPr>
        <w:pStyle w:val="ListParagraph"/>
        <w:tabs>
          <w:tab w:val="left" w:pos="567"/>
          <w:tab w:val="left" w:pos="993"/>
        </w:tabs>
        <w:spacing w:before="19"/>
        <w:ind w:left="993" w:firstLine="0"/>
        <w:rPr>
          <w:bCs/>
        </w:rPr>
      </w:pPr>
      <w:r w:rsidRPr="00E2229B">
        <w:rPr>
          <w:b/>
          <w:i/>
          <w:iCs/>
          <w:color w:val="EE0000"/>
          <w:spacing w:val="-4"/>
          <w:w w:val="105"/>
        </w:rPr>
        <w:t>Decision</w:t>
      </w:r>
      <w:r>
        <w:rPr>
          <w:bCs/>
          <w:spacing w:val="-4"/>
          <w:w w:val="105"/>
        </w:rPr>
        <w:t xml:space="preserve"> -TMPC took the opportunity to lodge a statement against the notice immediately using online access to the EFDC Planning Portal.</w:t>
      </w:r>
    </w:p>
    <w:p w14:paraId="4FC72EEF" w14:textId="5244CC9F" w:rsidR="00E2229B" w:rsidRDefault="00E2229B" w:rsidP="00E2229B">
      <w:pPr>
        <w:pStyle w:val="ListParagraph"/>
        <w:tabs>
          <w:tab w:val="left" w:pos="567"/>
          <w:tab w:val="left" w:pos="993"/>
        </w:tabs>
        <w:spacing w:before="19"/>
        <w:ind w:left="993" w:firstLine="0"/>
        <w:rPr>
          <w:bCs/>
          <w:w w:val="105"/>
        </w:rPr>
      </w:pPr>
      <w:r w:rsidRPr="00E2229B">
        <w:rPr>
          <w:bCs/>
          <w:w w:val="105"/>
        </w:rPr>
        <w:t xml:space="preserve">PC reminded TMPC that the full Planning Application Notice for the solar farm was anticipated shortly and that TMPC would need to </w:t>
      </w:r>
      <w:proofErr w:type="spellStart"/>
      <w:r w:rsidRPr="00E2229B">
        <w:rPr>
          <w:bCs/>
          <w:w w:val="105"/>
        </w:rPr>
        <w:t>maxim</w:t>
      </w:r>
      <w:r>
        <w:rPr>
          <w:bCs/>
          <w:w w:val="105"/>
        </w:rPr>
        <w:t>ise</w:t>
      </w:r>
      <w:proofErr w:type="spellEnd"/>
      <w:r>
        <w:rPr>
          <w:bCs/>
          <w:w w:val="105"/>
        </w:rPr>
        <w:t xml:space="preserve"> all</w:t>
      </w:r>
      <w:r w:rsidRPr="00E2229B">
        <w:rPr>
          <w:bCs/>
          <w:w w:val="105"/>
        </w:rPr>
        <w:t xml:space="preserve"> possible time to shape its response and submit it to EFDC.</w:t>
      </w:r>
      <w:r>
        <w:rPr>
          <w:bCs/>
          <w:w w:val="105"/>
        </w:rPr>
        <w:t xml:space="preserve"> Based on the briefing provided by RA it was considered likely that TMPC </w:t>
      </w:r>
      <w:r w:rsidR="00A90EA0">
        <w:rPr>
          <w:bCs/>
          <w:w w:val="105"/>
        </w:rPr>
        <w:t>might be able to</w:t>
      </w:r>
      <w:r>
        <w:rPr>
          <w:bCs/>
          <w:w w:val="105"/>
        </w:rPr>
        <w:t xml:space="preserve"> invoke Section 137 Expenditure</w:t>
      </w:r>
      <w:r w:rsidR="0031774D">
        <w:rPr>
          <w:bCs/>
          <w:w w:val="105"/>
        </w:rPr>
        <w:t xml:space="preserve"> (Local Government Act 1972) to provide financial support to STPC to provide them with possible legal support against the Application. MH added that current TMPC funds would in any case allow for some measure of cost contribution.</w:t>
      </w:r>
    </w:p>
    <w:p w14:paraId="02041F95" w14:textId="57BD5960" w:rsidR="00A90EA0" w:rsidRDefault="00A90EA0" w:rsidP="00E2229B">
      <w:pPr>
        <w:pStyle w:val="ListParagraph"/>
        <w:tabs>
          <w:tab w:val="left" w:pos="567"/>
          <w:tab w:val="left" w:pos="993"/>
        </w:tabs>
        <w:spacing w:before="19"/>
        <w:ind w:left="993" w:firstLine="0"/>
        <w:rPr>
          <w:bCs/>
          <w:w w:val="105"/>
        </w:rPr>
      </w:pPr>
      <w:r w:rsidRPr="00A90EA0">
        <w:rPr>
          <w:b/>
          <w:w w:val="105"/>
        </w:rPr>
        <w:t>Garden Cottage</w:t>
      </w:r>
      <w:r>
        <w:rPr>
          <w:bCs/>
          <w:w w:val="105"/>
        </w:rPr>
        <w:t xml:space="preserve"> – PC briefed TMPC on multiple recent discussions he had had with both the applicant and the objectors. His view was that TMPC would hold to a response that sought cessation of any future commercial activity at the location.</w:t>
      </w:r>
    </w:p>
    <w:p w14:paraId="14FBA3A8" w14:textId="25ABA4D2" w:rsidR="00A90EA0" w:rsidRPr="00D2195A" w:rsidRDefault="00A90EA0" w:rsidP="00E2229B">
      <w:pPr>
        <w:pStyle w:val="ListParagraph"/>
        <w:tabs>
          <w:tab w:val="left" w:pos="567"/>
          <w:tab w:val="left" w:pos="993"/>
        </w:tabs>
        <w:spacing w:before="19"/>
        <w:ind w:left="993" w:firstLine="0"/>
        <w:rPr>
          <w:b/>
          <w:i/>
          <w:iCs/>
          <w:color w:val="EE0000"/>
        </w:rPr>
      </w:pPr>
      <w:r w:rsidRPr="00D2195A">
        <w:rPr>
          <w:b/>
          <w:i/>
          <w:iCs/>
          <w:color w:val="EE0000"/>
          <w:w w:val="105"/>
        </w:rPr>
        <w:t xml:space="preserve">Decision </w:t>
      </w:r>
      <w:r w:rsidR="00B7392D">
        <w:rPr>
          <w:b/>
          <w:i/>
          <w:iCs/>
          <w:color w:val="EE0000"/>
          <w:w w:val="105"/>
        </w:rPr>
        <w:t>–</w:t>
      </w:r>
      <w:r w:rsidRPr="00D2195A">
        <w:rPr>
          <w:b/>
          <w:i/>
          <w:iCs/>
          <w:color w:val="EE0000"/>
          <w:w w:val="105"/>
        </w:rPr>
        <w:t xml:space="preserve"> </w:t>
      </w:r>
      <w:r w:rsidR="00B7392D" w:rsidRPr="00B7392D">
        <w:rPr>
          <w:bCs/>
          <w:w w:val="105"/>
        </w:rPr>
        <w:t xml:space="preserve">TMPC determined that it was for EFDC to interpret the conflicting statements of </w:t>
      </w:r>
      <w:proofErr w:type="gramStart"/>
      <w:r w:rsidR="00B7392D" w:rsidRPr="00B7392D">
        <w:rPr>
          <w:bCs/>
          <w:w w:val="105"/>
        </w:rPr>
        <w:t>fact</w:t>
      </w:r>
      <w:proofErr w:type="gramEnd"/>
      <w:r w:rsidR="00B7392D" w:rsidRPr="00B7392D">
        <w:rPr>
          <w:bCs/>
          <w:w w:val="105"/>
        </w:rPr>
        <w:t xml:space="preserve"> but that TMPC did not want commercial use at the site.</w:t>
      </w:r>
    </w:p>
    <w:p w14:paraId="11A367C4" w14:textId="77777777" w:rsidR="00CC2EC8" w:rsidRDefault="00CC2EC8" w:rsidP="00745030">
      <w:pPr>
        <w:pStyle w:val="ListParagraph"/>
        <w:rPr>
          <w:b/>
          <w:i/>
          <w:iCs/>
        </w:rPr>
      </w:pPr>
    </w:p>
    <w:p w14:paraId="30EC7883" w14:textId="77777777" w:rsidR="00CC2EC8" w:rsidRPr="0059724E" w:rsidRDefault="00CC2EC8" w:rsidP="00CC2EC8">
      <w:pPr>
        <w:pStyle w:val="ListParagraph"/>
        <w:numPr>
          <w:ilvl w:val="1"/>
          <w:numId w:val="3"/>
        </w:numPr>
        <w:tabs>
          <w:tab w:val="left" w:pos="567"/>
          <w:tab w:val="left" w:pos="993"/>
        </w:tabs>
        <w:ind w:left="993" w:hanging="567"/>
        <w:rPr>
          <w:b/>
        </w:rPr>
      </w:pPr>
      <w:r>
        <w:rPr>
          <w:b/>
          <w:w w:val="105"/>
        </w:rPr>
        <w:lastRenderedPageBreak/>
        <w:t>Finances</w:t>
      </w:r>
      <w:r>
        <w:rPr>
          <w:b/>
          <w:spacing w:val="21"/>
          <w:w w:val="105"/>
        </w:rPr>
        <w:t xml:space="preserve"> </w:t>
      </w:r>
      <w:r>
        <w:rPr>
          <w:b/>
          <w:w w:val="105"/>
        </w:rPr>
        <w:t>–</w:t>
      </w:r>
      <w:r>
        <w:rPr>
          <w:b/>
          <w:spacing w:val="19"/>
          <w:w w:val="105"/>
        </w:rPr>
        <w:t xml:space="preserve"> </w:t>
      </w:r>
      <w:r w:rsidRPr="004156FE">
        <w:rPr>
          <w:bCs/>
          <w:spacing w:val="-5"/>
          <w:w w:val="105"/>
        </w:rPr>
        <w:t xml:space="preserve">MH updated TMPC using 2 circulated documents (Bank Statement and Cash Flow). Bank Balance was </w:t>
      </w:r>
      <w:proofErr w:type="gramStart"/>
      <w:r w:rsidRPr="004156FE">
        <w:rPr>
          <w:bCs/>
          <w:spacing w:val="-5"/>
          <w:w w:val="105"/>
        </w:rPr>
        <w:t>healthy</w:t>
      </w:r>
      <w:proofErr w:type="gramEnd"/>
      <w:r w:rsidRPr="004156FE">
        <w:rPr>
          <w:bCs/>
          <w:spacing w:val="-5"/>
          <w:w w:val="105"/>
        </w:rPr>
        <w:t xml:space="preserve"> and MH had included consideration of and estimates for potential future </w:t>
      </w:r>
      <w:proofErr w:type="spellStart"/>
      <w:r w:rsidRPr="004156FE">
        <w:rPr>
          <w:bCs/>
          <w:spacing w:val="-5"/>
          <w:w w:val="105"/>
        </w:rPr>
        <w:t>expendidture</w:t>
      </w:r>
      <w:proofErr w:type="spellEnd"/>
      <w:r w:rsidRPr="004156FE">
        <w:rPr>
          <w:bCs/>
          <w:spacing w:val="-5"/>
          <w:w w:val="105"/>
        </w:rPr>
        <w:t>. Cash was thus available to accomplish the current TMPC aims.</w:t>
      </w:r>
    </w:p>
    <w:p w14:paraId="10D0AF94" w14:textId="77777777" w:rsidR="00CC2EC8" w:rsidRPr="00F45063" w:rsidRDefault="00CC2EC8" w:rsidP="00745030">
      <w:pPr>
        <w:pStyle w:val="ListParagraph"/>
        <w:rPr>
          <w:b/>
          <w:i/>
          <w:iCs/>
        </w:rPr>
      </w:pPr>
    </w:p>
    <w:p w14:paraId="0158B11B" w14:textId="31102EEA" w:rsidR="001E010C" w:rsidRPr="00D2195A" w:rsidRDefault="00000000" w:rsidP="0059724E">
      <w:pPr>
        <w:pStyle w:val="ListParagraph"/>
        <w:numPr>
          <w:ilvl w:val="1"/>
          <w:numId w:val="3"/>
        </w:numPr>
        <w:tabs>
          <w:tab w:val="left" w:pos="993"/>
        </w:tabs>
        <w:ind w:firstLine="133"/>
        <w:rPr>
          <w:bCs/>
        </w:rPr>
      </w:pPr>
      <w:r>
        <w:rPr>
          <w:b/>
          <w:w w:val="110"/>
        </w:rPr>
        <w:t>Highways</w:t>
      </w:r>
      <w:r>
        <w:rPr>
          <w:b/>
          <w:spacing w:val="-12"/>
          <w:w w:val="110"/>
        </w:rPr>
        <w:t xml:space="preserve"> </w:t>
      </w:r>
      <w:r>
        <w:rPr>
          <w:b/>
          <w:w w:val="110"/>
        </w:rPr>
        <w:t>Submission</w:t>
      </w:r>
      <w:r>
        <w:rPr>
          <w:b/>
          <w:spacing w:val="-11"/>
          <w:w w:val="110"/>
        </w:rPr>
        <w:t xml:space="preserve"> </w:t>
      </w:r>
      <w:r>
        <w:rPr>
          <w:b/>
          <w:w w:val="110"/>
        </w:rPr>
        <w:t>Update</w:t>
      </w:r>
      <w:r>
        <w:rPr>
          <w:b/>
          <w:spacing w:val="-9"/>
          <w:w w:val="110"/>
        </w:rPr>
        <w:t xml:space="preserve"> </w:t>
      </w:r>
      <w:r w:rsidR="0059724E">
        <w:rPr>
          <w:b/>
          <w:w w:val="110"/>
        </w:rPr>
        <w:t>–</w:t>
      </w:r>
      <w:proofErr w:type="gramStart"/>
      <w:r w:rsidR="00D2195A" w:rsidRPr="00D2195A">
        <w:rPr>
          <w:bCs/>
          <w:spacing w:val="-11"/>
          <w:w w:val="110"/>
        </w:rPr>
        <w:t>RA  reported</w:t>
      </w:r>
      <w:proofErr w:type="gramEnd"/>
      <w:r w:rsidR="00D2195A" w:rsidRPr="00D2195A">
        <w:rPr>
          <w:bCs/>
          <w:spacing w:val="-11"/>
          <w:w w:val="110"/>
        </w:rPr>
        <w:t xml:space="preserve"> that he had contacted Cllr McIvor several times regarding any progress on the second of our two submissions to the Local Highways Panel that appeared to have been overlooked. Cllr McIvor eventually responded by stating that the Local Highways Panel was effectively in recession pending development of the Unitary Authority process</w:t>
      </w:r>
      <w:r w:rsidR="00D2195A">
        <w:rPr>
          <w:bCs/>
          <w:spacing w:val="-11"/>
          <w:w w:val="110"/>
        </w:rPr>
        <w:t xml:space="preserve"> and that the outstanding case was unlikely to receive any further consideration.</w:t>
      </w:r>
    </w:p>
    <w:p w14:paraId="65074027" w14:textId="77777777" w:rsidR="0059724E" w:rsidRPr="0059724E" w:rsidRDefault="0059724E" w:rsidP="0059724E">
      <w:pPr>
        <w:pStyle w:val="ListParagraph"/>
        <w:rPr>
          <w:b/>
        </w:rPr>
      </w:pPr>
    </w:p>
    <w:p w14:paraId="6EB2FDCB" w14:textId="286A2F41" w:rsidR="001E010C" w:rsidRPr="00CC2EC8" w:rsidRDefault="00000000" w:rsidP="0091726C">
      <w:pPr>
        <w:pStyle w:val="ListParagraph"/>
        <w:numPr>
          <w:ilvl w:val="1"/>
          <w:numId w:val="3"/>
        </w:numPr>
        <w:tabs>
          <w:tab w:val="left" w:pos="993"/>
        </w:tabs>
        <w:ind w:firstLine="133"/>
        <w:rPr>
          <w:b/>
        </w:rPr>
      </w:pPr>
      <w:r>
        <w:rPr>
          <w:b/>
          <w:spacing w:val="-2"/>
          <w:w w:val="115"/>
        </w:rPr>
        <w:t>Correspondence</w:t>
      </w:r>
      <w:r w:rsidR="00CC2EC8">
        <w:rPr>
          <w:b/>
          <w:spacing w:val="-2"/>
          <w:w w:val="115"/>
        </w:rPr>
        <w:t xml:space="preserve"> – </w:t>
      </w:r>
      <w:r w:rsidR="00CC2EC8" w:rsidRPr="00CC2EC8">
        <w:rPr>
          <w:bCs/>
          <w:spacing w:val="-2"/>
          <w:w w:val="115"/>
        </w:rPr>
        <w:t>none to report</w:t>
      </w:r>
    </w:p>
    <w:p w14:paraId="56D6802E" w14:textId="77777777" w:rsidR="00CC2EC8" w:rsidRPr="00CC2EC8" w:rsidRDefault="00CC2EC8" w:rsidP="00CC2EC8">
      <w:pPr>
        <w:pStyle w:val="ListParagraph"/>
        <w:rPr>
          <w:b/>
        </w:rPr>
      </w:pPr>
    </w:p>
    <w:p w14:paraId="7BBB2DBC" w14:textId="7D913E81" w:rsidR="00CC2EC8" w:rsidRDefault="00CC2EC8" w:rsidP="00CC2EC8">
      <w:pPr>
        <w:pStyle w:val="ListParagraph"/>
        <w:tabs>
          <w:tab w:val="left" w:pos="993"/>
        </w:tabs>
        <w:ind w:left="426" w:firstLine="0"/>
        <w:rPr>
          <w:b/>
        </w:rPr>
      </w:pPr>
      <w:r>
        <w:rPr>
          <w:b/>
          <w:noProof/>
        </w:rPr>
        <w:drawing>
          <wp:anchor distT="0" distB="0" distL="114300" distR="114300" simplePos="0" relativeHeight="251658240" behindDoc="1" locked="0" layoutInCell="1" allowOverlap="1" wp14:anchorId="596CAC5A" wp14:editId="4817C8EF">
            <wp:simplePos x="0" y="0"/>
            <wp:positionH relativeFrom="column">
              <wp:posOffset>270510</wp:posOffset>
            </wp:positionH>
            <wp:positionV relativeFrom="paragraph">
              <wp:posOffset>17145</wp:posOffset>
            </wp:positionV>
            <wp:extent cx="1495425" cy="323850"/>
            <wp:effectExtent l="0" t="0" r="9525" b="0"/>
            <wp:wrapTight wrapText="bothSides">
              <wp:wrapPolygon edited="0">
                <wp:start x="0" y="0"/>
                <wp:lineTo x="0" y="20329"/>
                <wp:lineTo x="21462" y="20329"/>
                <wp:lineTo x="21462" y="0"/>
                <wp:lineTo x="0" y="0"/>
              </wp:wrapPolygon>
            </wp:wrapTight>
            <wp:docPr id="562763326" name="Picture 1" descr="A black rope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63326" name="Picture 1" descr="A black rope in the shape of a hea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323850"/>
                    </a:xfrm>
                    <a:prstGeom prst="rect">
                      <a:avLst/>
                    </a:prstGeom>
                  </pic:spPr>
                </pic:pic>
              </a:graphicData>
            </a:graphic>
          </wp:anchor>
        </w:drawing>
      </w:r>
      <w:r>
        <w:rPr>
          <w:b/>
        </w:rPr>
        <w:t>Peter Connell – Chair of TMPC</w:t>
      </w:r>
      <w:r>
        <w:rPr>
          <w:b/>
        </w:rPr>
        <w:tab/>
      </w:r>
      <w:r>
        <w:rPr>
          <w:b/>
        </w:rPr>
        <w:tab/>
        <w:t>1 July 2025</w:t>
      </w:r>
    </w:p>
    <w:sectPr w:rsidR="00CC2EC8" w:rsidSect="00703AEF">
      <w:type w:val="continuous"/>
      <w:pgSz w:w="11920" w:h="16850"/>
      <w:pgMar w:top="900" w:right="1133"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248E"/>
    <w:multiLevelType w:val="multilevel"/>
    <w:tmpl w:val="531CE11E"/>
    <w:lvl w:ilvl="0">
      <w:start w:val="5"/>
      <w:numFmt w:val="decimal"/>
      <w:lvlText w:val="%1"/>
      <w:lvlJc w:val="left"/>
      <w:pPr>
        <w:ind w:left="435" w:hanging="435"/>
      </w:pPr>
      <w:rPr>
        <w:rFonts w:hint="default"/>
      </w:rPr>
    </w:lvl>
    <w:lvl w:ilvl="1">
      <w:start w:val="1"/>
      <w:numFmt w:val="decimal"/>
      <w:lvlText w:val="%1.%2"/>
      <w:lvlJc w:val="left"/>
      <w:pPr>
        <w:ind w:left="293" w:hanging="435"/>
      </w:pPr>
      <w:rPr>
        <w:rFonts w:hint="default"/>
        <w:b/>
        <w:bCs w:val="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 w15:restartNumberingAfterBreak="0">
    <w:nsid w:val="3AFA495C"/>
    <w:multiLevelType w:val="multilevel"/>
    <w:tmpl w:val="31C23A3E"/>
    <w:lvl w:ilvl="0">
      <w:start w:val="5"/>
      <w:numFmt w:val="decimal"/>
      <w:lvlText w:val="%1"/>
      <w:lvlJc w:val="left"/>
      <w:pPr>
        <w:ind w:left="540" w:hanging="540"/>
      </w:pPr>
      <w:rPr>
        <w:rFonts w:hint="default"/>
      </w:rPr>
    </w:lvl>
    <w:lvl w:ilvl="1">
      <w:start w:val="1"/>
      <w:numFmt w:val="decimal"/>
      <w:lvlText w:val="%1.%2"/>
      <w:lvlJc w:val="left"/>
      <w:pPr>
        <w:ind w:left="1124" w:hanging="540"/>
      </w:pPr>
      <w:rPr>
        <w:rFonts w:hint="default"/>
      </w:rPr>
    </w:lvl>
    <w:lvl w:ilvl="2">
      <w:start w:val="12"/>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2" w15:restartNumberingAfterBreak="0">
    <w:nsid w:val="4C452DA7"/>
    <w:multiLevelType w:val="multilevel"/>
    <w:tmpl w:val="DF12551E"/>
    <w:lvl w:ilvl="0">
      <w:start w:val="1"/>
      <w:numFmt w:val="decimal"/>
      <w:lvlText w:val="%1."/>
      <w:lvlJc w:val="left"/>
      <w:pPr>
        <w:ind w:left="448" w:hanging="360"/>
        <w:jc w:val="left"/>
      </w:pPr>
      <w:rPr>
        <w:rFonts w:hint="default"/>
        <w:b/>
        <w:bCs w:val="0"/>
        <w:spacing w:val="-1"/>
        <w:w w:val="108"/>
        <w:lang w:val="en-US" w:eastAsia="en-US" w:bidi="ar-SA"/>
      </w:rPr>
    </w:lvl>
    <w:lvl w:ilvl="1">
      <w:start w:val="1"/>
      <w:numFmt w:val="decimal"/>
      <w:lvlText w:val="%1.%2"/>
      <w:lvlJc w:val="left"/>
      <w:pPr>
        <w:ind w:left="1442" w:hanging="732"/>
        <w:jc w:val="left"/>
      </w:pPr>
      <w:rPr>
        <w:rFonts w:ascii="Calibri" w:eastAsia="Calibri" w:hAnsi="Calibri" w:cs="Calibri" w:hint="default"/>
        <w:b/>
        <w:bCs/>
        <w:i w:val="0"/>
        <w:iCs w:val="0"/>
        <w:spacing w:val="-1"/>
        <w:w w:val="107"/>
        <w:sz w:val="22"/>
        <w:szCs w:val="22"/>
        <w:lang w:val="en-US" w:eastAsia="en-US" w:bidi="ar-SA"/>
      </w:rPr>
    </w:lvl>
    <w:lvl w:ilvl="2">
      <w:numFmt w:val="bullet"/>
      <w:lvlText w:val="•"/>
      <w:lvlJc w:val="left"/>
      <w:pPr>
        <w:ind w:left="2118" w:hanging="732"/>
      </w:pPr>
      <w:rPr>
        <w:rFonts w:hint="default"/>
        <w:lang w:val="en-US" w:eastAsia="en-US" w:bidi="ar-SA"/>
      </w:rPr>
    </w:lvl>
    <w:lvl w:ilvl="3">
      <w:numFmt w:val="bullet"/>
      <w:lvlText w:val="•"/>
      <w:lvlJc w:val="left"/>
      <w:pPr>
        <w:ind w:left="3076" w:hanging="732"/>
      </w:pPr>
      <w:rPr>
        <w:rFonts w:hint="default"/>
        <w:lang w:val="en-US" w:eastAsia="en-US" w:bidi="ar-SA"/>
      </w:rPr>
    </w:lvl>
    <w:lvl w:ilvl="4">
      <w:numFmt w:val="bullet"/>
      <w:lvlText w:val="•"/>
      <w:lvlJc w:val="left"/>
      <w:pPr>
        <w:ind w:left="4035" w:hanging="732"/>
      </w:pPr>
      <w:rPr>
        <w:rFonts w:hint="default"/>
        <w:lang w:val="en-US" w:eastAsia="en-US" w:bidi="ar-SA"/>
      </w:rPr>
    </w:lvl>
    <w:lvl w:ilvl="5">
      <w:numFmt w:val="bullet"/>
      <w:lvlText w:val="•"/>
      <w:lvlJc w:val="left"/>
      <w:pPr>
        <w:ind w:left="4993" w:hanging="732"/>
      </w:pPr>
      <w:rPr>
        <w:rFonts w:hint="default"/>
        <w:lang w:val="en-US" w:eastAsia="en-US" w:bidi="ar-SA"/>
      </w:rPr>
    </w:lvl>
    <w:lvl w:ilvl="6">
      <w:numFmt w:val="bullet"/>
      <w:lvlText w:val="•"/>
      <w:lvlJc w:val="left"/>
      <w:pPr>
        <w:ind w:left="5952" w:hanging="732"/>
      </w:pPr>
      <w:rPr>
        <w:rFonts w:hint="default"/>
        <w:lang w:val="en-US" w:eastAsia="en-US" w:bidi="ar-SA"/>
      </w:rPr>
    </w:lvl>
    <w:lvl w:ilvl="7">
      <w:numFmt w:val="bullet"/>
      <w:lvlText w:val="•"/>
      <w:lvlJc w:val="left"/>
      <w:pPr>
        <w:ind w:left="6910" w:hanging="732"/>
      </w:pPr>
      <w:rPr>
        <w:rFonts w:hint="default"/>
        <w:lang w:val="en-US" w:eastAsia="en-US" w:bidi="ar-SA"/>
      </w:rPr>
    </w:lvl>
    <w:lvl w:ilvl="8">
      <w:numFmt w:val="bullet"/>
      <w:lvlText w:val="•"/>
      <w:lvlJc w:val="left"/>
      <w:pPr>
        <w:ind w:left="7869" w:hanging="732"/>
      </w:pPr>
      <w:rPr>
        <w:rFonts w:hint="default"/>
        <w:lang w:val="en-US" w:eastAsia="en-US" w:bidi="ar-SA"/>
      </w:rPr>
    </w:lvl>
  </w:abstractNum>
  <w:num w:numId="1" w16cid:durableId="540286487">
    <w:abstractNumId w:val="2"/>
  </w:num>
  <w:num w:numId="2" w16cid:durableId="1621766615">
    <w:abstractNumId w:val="1"/>
  </w:num>
  <w:num w:numId="3" w16cid:durableId="84065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0C"/>
    <w:rsid w:val="000263C8"/>
    <w:rsid w:val="00060D52"/>
    <w:rsid w:val="0008750C"/>
    <w:rsid w:val="000A4DBE"/>
    <w:rsid w:val="000C46FD"/>
    <w:rsid w:val="000C567C"/>
    <w:rsid w:val="001B4604"/>
    <w:rsid w:val="001E010C"/>
    <w:rsid w:val="00221D33"/>
    <w:rsid w:val="00261FBA"/>
    <w:rsid w:val="002D7307"/>
    <w:rsid w:val="0031774D"/>
    <w:rsid w:val="00411E02"/>
    <w:rsid w:val="004156FE"/>
    <w:rsid w:val="00493F8E"/>
    <w:rsid w:val="00554F76"/>
    <w:rsid w:val="0059724E"/>
    <w:rsid w:val="00657B3D"/>
    <w:rsid w:val="006610E2"/>
    <w:rsid w:val="00703AEF"/>
    <w:rsid w:val="00745030"/>
    <w:rsid w:val="0082671B"/>
    <w:rsid w:val="0086129C"/>
    <w:rsid w:val="008F3B73"/>
    <w:rsid w:val="0091726C"/>
    <w:rsid w:val="009A592F"/>
    <w:rsid w:val="00A75EBC"/>
    <w:rsid w:val="00A90EA0"/>
    <w:rsid w:val="00B70A5F"/>
    <w:rsid w:val="00B7392D"/>
    <w:rsid w:val="00CC2EC8"/>
    <w:rsid w:val="00CD1EB4"/>
    <w:rsid w:val="00D2195A"/>
    <w:rsid w:val="00D96C49"/>
    <w:rsid w:val="00E218F1"/>
    <w:rsid w:val="00E2229B"/>
    <w:rsid w:val="00E77A05"/>
    <w:rsid w:val="00F306A3"/>
    <w:rsid w:val="00F45063"/>
    <w:rsid w:val="00FF2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77C2"/>
  <w15:docId w15:val="{77573000-BE86-4801-B753-8E220D04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168" w:hanging="732"/>
    </w:pPr>
    <w:rPr>
      <w:b/>
      <w:bCs/>
    </w:rPr>
  </w:style>
  <w:style w:type="paragraph" w:styleId="ListParagraph">
    <w:name w:val="List Paragraph"/>
    <w:basedOn w:val="Normal"/>
    <w:uiPriority w:val="1"/>
    <w:qFormat/>
    <w:pPr>
      <w:spacing w:before="22"/>
      <w:ind w:left="1168" w:hanging="7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1702</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 Angood</dc:creator>
  <cp:lastModifiedBy>Rod Angood</cp:lastModifiedBy>
  <cp:revision>10</cp:revision>
  <dcterms:created xsi:type="dcterms:W3CDTF">2025-06-12T11:23:00Z</dcterms:created>
  <dcterms:modified xsi:type="dcterms:W3CDTF">2025-07-05T11:07:00Z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for Microsoft 365</vt:lpwstr>
  </property>
  <property fmtid="{D5CDD505-2E9C-101B-9397-08002B2CF9AE}" pid="4" name="LastSaved">
    <vt:filetime>2025-06-09T00:00:00Z</vt:filetime>
  </property>
  <property fmtid="{D5CDD505-2E9C-101B-9397-08002B2CF9AE}" pid="5" name="Producer">
    <vt:lpwstr>Microsoft® Word for Microsoft 365</vt:lpwstr>
  </property>
</Properties>
</file>