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1211" w14:textId="14465638" w:rsidR="002E5F7D" w:rsidRPr="00990E9D" w:rsidRDefault="002D264F">
      <w:pPr>
        <w:rPr>
          <w:b/>
          <w:bCs/>
          <w:sz w:val="20"/>
          <w:szCs w:val="20"/>
        </w:rPr>
      </w:pPr>
      <w:r w:rsidRPr="00990E9D">
        <w:rPr>
          <w:b/>
          <w:bCs/>
          <w:sz w:val="20"/>
          <w:szCs w:val="20"/>
        </w:rPr>
        <w:t xml:space="preserve">MINUTES OF </w:t>
      </w:r>
      <w:r w:rsidR="000A5A2F" w:rsidRPr="00990E9D">
        <w:rPr>
          <w:b/>
          <w:bCs/>
          <w:sz w:val="20"/>
          <w:szCs w:val="20"/>
        </w:rPr>
        <w:t>INTERIM OGM 24</w:t>
      </w:r>
      <w:r w:rsidR="000A5A2F" w:rsidRPr="00990E9D">
        <w:rPr>
          <w:b/>
          <w:bCs/>
          <w:sz w:val="20"/>
          <w:szCs w:val="20"/>
          <w:vertAlign w:val="superscript"/>
        </w:rPr>
        <w:t>th</w:t>
      </w:r>
      <w:r w:rsidR="000A5A2F" w:rsidRPr="00990E9D">
        <w:rPr>
          <w:b/>
          <w:bCs/>
          <w:sz w:val="20"/>
          <w:szCs w:val="20"/>
        </w:rPr>
        <w:t xml:space="preserve"> MARCH 2025</w:t>
      </w:r>
    </w:p>
    <w:p w14:paraId="5DA2046E" w14:textId="511049BA" w:rsidR="00B106BF" w:rsidRPr="00990E9D" w:rsidRDefault="00B106BF">
      <w:pPr>
        <w:rPr>
          <w:b/>
          <w:bCs/>
          <w:sz w:val="20"/>
          <w:szCs w:val="20"/>
        </w:rPr>
      </w:pPr>
      <w:r w:rsidRPr="00990E9D">
        <w:rPr>
          <w:b/>
          <w:bCs/>
          <w:sz w:val="20"/>
          <w:szCs w:val="20"/>
        </w:rPr>
        <w:t>Apologies:</w:t>
      </w:r>
      <w:r w:rsidR="002D264F" w:rsidRPr="00990E9D">
        <w:rPr>
          <w:b/>
          <w:bCs/>
          <w:sz w:val="20"/>
          <w:szCs w:val="20"/>
        </w:rPr>
        <w:t xml:space="preserve"> </w:t>
      </w:r>
      <w:r w:rsidR="002D264F" w:rsidRPr="00990E9D">
        <w:rPr>
          <w:sz w:val="20"/>
          <w:szCs w:val="20"/>
        </w:rPr>
        <w:t>None</w:t>
      </w:r>
    </w:p>
    <w:p w14:paraId="4C980AAE" w14:textId="101F4B0E" w:rsidR="00B106BF" w:rsidRPr="00990E9D" w:rsidRDefault="00B106BF">
      <w:pPr>
        <w:rPr>
          <w:sz w:val="20"/>
          <w:szCs w:val="20"/>
        </w:rPr>
      </w:pPr>
      <w:r w:rsidRPr="00990E9D">
        <w:rPr>
          <w:b/>
          <w:bCs/>
          <w:sz w:val="20"/>
          <w:szCs w:val="20"/>
        </w:rPr>
        <w:t>In Attendance:</w:t>
      </w:r>
      <w:r w:rsidR="002D264F" w:rsidRPr="00990E9D">
        <w:rPr>
          <w:b/>
          <w:bCs/>
          <w:sz w:val="20"/>
          <w:szCs w:val="20"/>
        </w:rPr>
        <w:t xml:space="preserve"> </w:t>
      </w:r>
      <w:r w:rsidR="002D264F" w:rsidRPr="00990E9D">
        <w:rPr>
          <w:sz w:val="20"/>
          <w:szCs w:val="20"/>
        </w:rPr>
        <w:t>Peter Connell (Chair) (PC), Keith Farrow (KF), Hilliard Brewitt (HTB), Heather Brady (HB), Martin Hudson (MH), Rod Angood (Clerk) (RA) and Stuart Galloway (Invited Guest) (SG)</w:t>
      </w:r>
    </w:p>
    <w:p w14:paraId="522A6923" w14:textId="4D03ACF8" w:rsidR="00B106BF" w:rsidRPr="00990E9D" w:rsidRDefault="00B106BF">
      <w:pPr>
        <w:rPr>
          <w:b/>
          <w:bCs/>
          <w:sz w:val="20"/>
          <w:szCs w:val="20"/>
        </w:rPr>
      </w:pPr>
      <w:r w:rsidRPr="00990E9D">
        <w:rPr>
          <w:b/>
          <w:bCs/>
          <w:sz w:val="20"/>
          <w:szCs w:val="20"/>
        </w:rPr>
        <w:t>Declarations of Interest:</w:t>
      </w:r>
      <w:r w:rsidR="002D264F" w:rsidRPr="00990E9D">
        <w:rPr>
          <w:b/>
          <w:bCs/>
          <w:sz w:val="20"/>
          <w:szCs w:val="20"/>
        </w:rPr>
        <w:t xml:space="preserve"> </w:t>
      </w:r>
      <w:r w:rsidR="002D264F" w:rsidRPr="00990E9D">
        <w:rPr>
          <w:sz w:val="20"/>
          <w:szCs w:val="20"/>
        </w:rPr>
        <w:t>None</w:t>
      </w:r>
    </w:p>
    <w:p w14:paraId="65404CC8" w14:textId="18EDA4AA" w:rsidR="00B106BF" w:rsidRPr="00990E9D" w:rsidRDefault="00B106BF">
      <w:pPr>
        <w:rPr>
          <w:b/>
          <w:bCs/>
          <w:sz w:val="20"/>
          <w:szCs w:val="20"/>
        </w:rPr>
      </w:pPr>
      <w:r w:rsidRPr="00990E9D">
        <w:rPr>
          <w:b/>
          <w:bCs/>
          <w:sz w:val="20"/>
          <w:szCs w:val="20"/>
        </w:rPr>
        <w:t>Ratification of Last OGM Minutes:</w:t>
      </w:r>
      <w:r w:rsidR="002D264F" w:rsidRPr="00990E9D">
        <w:rPr>
          <w:b/>
          <w:bCs/>
          <w:sz w:val="20"/>
          <w:szCs w:val="20"/>
        </w:rPr>
        <w:t xml:space="preserve"> </w:t>
      </w:r>
      <w:r w:rsidR="002D264F" w:rsidRPr="00990E9D">
        <w:rPr>
          <w:sz w:val="20"/>
          <w:szCs w:val="20"/>
        </w:rPr>
        <w:t>Ratified</w:t>
      </w:r>
      <w:r w:rsidR="00016733" w:rsidRPr="00990E9D">
        <w:rPr>
          <w:sz w:val="20"/>
          <w:szCs w:val="20"/>
        </w:rPr>
        <w:t>, however HB explained that she had not completed</w:t>
      </w:r>
      <w:r w:rsidR="00C609D9" w:rsidRPr="00990E9D">
        <w:rPr>
          <w:sz w:val="20"/>
          <w:szCs w:val="20"/>
        </w:rPr>
        <w:t xml:space="preserve"> the action placed on her regarding the membership card discovered in discarded waste on a parish verge. </w:t>
      </w:r>
      <w:r w:rsidR="002D264F" w:rsidRPr="00990E9D">
        <w:rPr>
          <w:sz w:val="20"/>
          <w:szCs w:val="20"/>
        </w:rPr>
        <w:t>–</w:t>
      </w:r>
      <w:r w:rsidR="002D264F" w:rsidRPr="00990E9D">
        <w:rPr>
          <w:b/>
          <w:bCs/>
          <w:sz w:val="20"/>
          <w:szCs w:val="20"/>
        </w:rPr>
        <w:t xml:space="preserve"> Action - </w:t>
      </w:r>
      <w:r w:rsidR="002D264F" w:rsidRPr="00990E9D">
        <w:rPr>
          <w:sz w:val="20"/>
          <w:szCs w:val="20"/>
        </w:rPr>
        <w:t>RA to publish</w:t>
      </w:r>
      <w:r w:rsidR="00C609D9" w:rsidRPr="00990E9D">
        <w:rPr>
          <w:sz w:val="20"/>
          <w:szCs w:val="20"/>
        </w:rPr>
        <w:t xml:space="preserve"> minutes</w:t>
      </w:r>
    </w:p>
    <w:p w14:paraId="4E0DC173" w14:textId="45CA0ED6" w:rsidR="002D264F" w:rsidRPr="00990E9D" w:rsidRDefault="002D264F">
      <w:pPr>
        <w:rPr>
          <w:sz w:val="20"/>
          <w:szCs w:val="20"/>
        </w:rPr>
      </w:pPr>
      <w:r w:rsidRPr="00990E9D">
        <w:rPr>
          <w:b/>
          <w:bCs/>
          <w:sz w:val="20"/>
          <w:szCs w:val="20"/>
        </w:rPr>
        <w:t xml:space="preserve">Special Agenda Item: </w:t>
      </w:r>
      <w:r w:rsidRPr="00990E9D">
        <w:rPr>
          <w:sz w:val="20"/>
          <w:szCs w:val="20"/>
        </w:rPr>
        <w:t>SG was asked to update TMPC on any progress in relation to the site being used for tipping on Epping Lane. SG stated that he had been advised to chase the matter up with the Environment Agency which he confirmed he had done.</w:t>
      </w:r>
      <w:r w:rsidR="002B0FA8" w:rsidRPr="00990E9D">
        <w:rPr>
          <w:sz w:val="20"/>
          <w:szCs w:val="20"/>
        </w:rPr>
        <w:t xml:space="preserve"> He reported that the Environment Agency were involved to assess whether what was tipped on the site was hazardous in any way. HB reminded TMPC that the site was the subject of an injunction which listed all the owners but did not reveal how they were to be contacted. HB added that on a visit to the site the previous day the number of tipped truck loads had increased from 28 when she first visited approximately 4 weeks earlier to 53 currently. SG agreed to pass that information on to Janes Stubbs at EFDC.</w:t>
      </w:r>
    </w:p>
    <w:p w14:paraId="11659DCA" w14:textId="77777777" w:rsidR="00016733" w:rsidRPr="00990E9D" w:rsidRDefault="00FF158C" w:rsidP="00016733">
      <w:pPr>
        <w:spacing w:after="0" w:line="240" w:lineRule="auto"/>
        <w:rPr>
          <w:sz w:val="20"/>
          <w:szCs w:val="20"/>
        </w:rPr>
      </w:pPr>
      <w:r w:rsidRPr="00990E9D">
        <w:rPr>
          <w:sz w:val="20"/>
          <w:szCs w:val="20"/>
        </w:rPr>
        <w:t xml:space="preserve">PC reminded SG that TMPC had been successful in a case submitted to Local Highways Panel for remediation of inadequate road marking lines and road signs at the Banks Lane/Mount Road </w:t>
      </w:r>
    </w:p>
    <w:p w14:paraId="749A8AD2" w14:textId="5D75F5DA" w:rsidR="00FF158C" w:rsidRPr="00990E9D" w:rsidRDefault="00FF158C" w:rsidP="00016733">
      <w:pPr>
        <w:spacing w:after="0" w:line="240" w:lineRule="auto"/>
        <w:rPr>
          <w:sz w:val="20"/>
          <w:szCs w:val="20"/>
        </w:rPr>
      </w:pPr>
      <w:r w:rsidRPr="00990E9D">
        <w:rPr>
          <w:sz w:val="20"/>
          <w:szCs w:val="20"/>
        </w:rPr>
        <w:t xml:space="preserve">junction and asked RA to forward a copy of the Local Highways communique to STPC. </w:t>
      </w:r>
    </w:p>
    <w:p w14:paraId="0D09FD0F" w14:textId="76855854" w:rsidR="00FF158C" w:rsidRPr="00990E9D" w:rsidRDefault="00FF158C">
      <w:pPr>
        <w:rPr>
          <w:sz w:val="20"/>
          <w:szCs w:val="20"/>
        </w:rPr>
      </w:pPr>
      <w:r w:rsidRPr="00990E9D">
        <w:rPr>
          <w:b/>
          <w:bCs/>
          <w:sz w:val="20"/>
          <w:szCs w:val="20"/>
        </w:rPr>
        <w:t>Action</w:t>
      </w:r>
      <w:r w:rsidRPr="00990E9D">
        <w:rPr>
          <w:sz w:val="20"/>
          <w:szCs w:val="20"/>
        </w:rPr>
        <w:t xml:space="preserve"> -RA</w:t>
      </w:r>
    </w:p>
    <w:p w14:paraId="58653083" w14:textId="77C734E9" w:rsidR="000A5A2F" w:rsidRPr="00990E9D" w:rsidRDefault="00B106BF">
      <w:pPr>
        <w:rPr>
          <w:sz w:val="20"/>
          <w:szCs w:val="20"/>
        </w:rPr>
      </w:pPr>
      <w:r w:rsidRPr="00990E9D">
        <w:rPr>
          <w:b/>
          <w:bCs/>
          <w:sz w:val="20"/>
          <w:szCs w:val="20"/>
        </w:rPr>
        <w:t>Business:</w:t>
      </w:r>
    </w:p>
    <w:p w14:paraId="3654C268" w14:textId="7CCD8394" w:rsidR="000A5A2F" w:rsidRPr="00990E9D" w:rsidRDefault="000A5A2F" w:rsidP="00B106BF">
      <w:pPr>
        <w:pStyle w:val="ListParagraph"/>
        <w:numPr>
          <w:ilvl w:val="0"/>
          <w:numId w:val="3"/>
        </w:numPr>
        <w:rPr>
          <w:sz w:val="20"/>
          <w:szCs w:val="20"/>
        </w:rPr>
      </w:pPr>
      <w:r w:rsidRPr="00990E9D">
        <w:rPr>
          <w:b/>
          <w:bCs/>
          <w:sz w:val="20"/>
          <w:szCs w:val="20"/>
        </w:rPr>
        <w:t>TMPC MEMBERS ROLES AND RESPONSIBILITIES</w:t>
      </w:r>
      <w:r w:rsidR="00727CDA" w:rsidRPr="00990E9D">
        <w:rPr>
          <w:sz w:val="20"/>
          <w:szCs w:val="20"/>
        </w:rPr>
        <w:t xml:space="preserve"> – </w:t>
      </w:r>
      <w:r w:rsidR="001E33CD" w:rsidRPr="00990E9D">
        <w:rPr>
          <w:sz w:val="20"/>
          <w:szCs w:val="20"/>
        </w:rPr>
        <w:t>PC</w:t>
      </w:r>
      <w:r w:rsidR="00016733" w:rsidRPr="00990E9D">
        <w:rPr>
          <w:sz w:val="20"/>
          <w:szCs w:val="20"/>
        </w:rPr>
        <w:t xml:space="preserve"> informed TMPC that </w:t>
      </w:r>
      <w:r w:rsidR="00C609D9" w:rsidRPr="00990E9D">
        <w:rPr>
          <w:sz w:val="20"/>
          <w:szCs w:val="20"/>
        </w:rPr>
        <w:t>he</w:t>
      </w:r>
      <w:r w:rsidR="00016733" w:rsidRPr="00990E9D">
        <w:rPr>
          <w:sz w:val="20"/>
          <w:szCs w:val="20"/>
        </w:rPr>
        <w:t xml:space="preserve"> and the Clerk had previously considered clearer roles and responsibilities for TMPC members</w:t>
      </w:r>
      <w:r w:rsidR="00C609D9" w:rsidRPr="00990E9D">
        <w:rPr>
          <w:sz w:val="20"/>
          <w:szCs w:val="20"/>
        </w:rPr>
        <w:t xml:space="preserve"> and ways to assist more business compliant processes and more efficient work assignments</w:t>
      </w:r>
      <w:r w:rsidR="00016733" w:rsidRPr="00990E9D">
        <w:rPr>
          <w:sz w:val="20"/>
          <w:szCs w:val="20"/>
        </w:rPr>
        <w:t>.</w:t>
      </w:r>
      <w:r w:rsidR="00C609D9" w:rsidRPr="00990E9D">
        <w:rPr>
          <w:sz w:val="20"/>
          <w:szCs w:val="20"/>
        </w:rPr>
        <w:t xml:space="preserve"> RA further expanded on the development of roles to date but stressed the circulated document was a work in progress. HTB suggested that MH be added to the “Events” responsibility - MH agreed.</w:t>
      </w:r>
      <w:r w:rsidR="00C24C80" w:rsidRPr="00990E9D">
        <w:rPr>
          <w:sz w:val="20"/>
          <w:szCs w:val="20"/>
        </w:rPr>
        <w:t xml:space="preserve"> On H’s recommendation PC encouraged all TMPC members to initiate their own information account registration with EFDC to speed up and enhance communications with EFDC. The propos</w:t>
      </w:r>
      <w:r w:rsidR="00C173E0" w:rsidRPr="00990E9D">
        <w:rPr>
          <w:sz w:val="20"/>
          <w:szCs w:val="20"/>
        </w:rPr>
        <w:t>ed model</w:t>
      </w:r>
      <w:r w:rsidR="00C24C80" w:rsidRPr="00990E9D">
        <w:rPr>
          <w:sz w:val="20"/>
          <w:szCs w:val="20"/>
        </w:rPr>
        <w:t xml:space="preserve"> was accepted.</w:t>
      </w:r>
    </w:p>
    <w:p w14:paraId="58AE6D51" w14:textId="77777777" w:rsidR="001E33CD" w:rsidRPr="00990E9D" w:rsidRDefault="001E33CD" w:rsidP="001E33CD">
      <w:pPr>
        <w:pStyle w:val="ListParagraph"/>
        <w:rPr>
          <w:sz w:val="20"/>
          <w:szCs w:val="20"/>
        </w:rPr>
      </w:pPr>
    </w:p>
    <w:p w14:paraId="32E5E8B4" w14:textId="4B89A170" w:rsidR="00990E9D" w:rsidRPr="00990E9D" w:rsidRDefault="000A5A2F" w:rsidP="00990E9D">
      <w:pPr>
        <w:pStyle w:val="ListParagraph"/>
        <w:numPr>
          <w:ilvl w:val="0"/>
          <w:numId w:val="3"/>
        </w:numPr>
        <w:rPr>
          <w:sz w:val="20"/>
          <w:szCs w:val="20"/>
        </w:rPr>
      </w:pPr>
      <w:r w:rsidRPr="00990E9D">
        <w:rPr>
          <w:b/>
          <w:bCs/>
          <w:sz w:val="20"/>
          <w:szCs w:val="20"/>
        </w:rPr>
        <w:t>REVISED DATES FOR LITTER PICKS</w:t>
      </w:r>
      <w:r w:rsidR="00727CDA" w:rsidRPr="00990E9D">
        <w:rPr>
          <w:sz w:val="20"/>
          <w:szCs w:val="20"/>
        </w:rPr>
        <w:t xml:space="preserve"> – </w:t>
      </w:r>
      <w:r w:rsidR="00C24C80" w:rsidRPr="00990E9D">
        <w:rPr>
          <w:sz w:val="20"/>
          <w:szCs w:val="20"/>
        </w:rPr>
        <w:t>HB confirmed the dates as</w:t>
      </w:r>
    </w:p>
    <w:p w14:paraId="296808BA" w14:textId="03F04078" w:rsidR="00C24C80" w:rsidRPr="00990E9D" w:rsidRDefault="00990E9D" w:rsidP="00990E9D">
      <w:pPr>
        <w:pStyle w:val="ListParagraph"/>
        <w:rPr>
          <w:sz w:val="20"/>
          <w:szCs w:val="20"/>
        </w:rPr>
      </w:pPr>
      <w:r w:rsidRPr="00990E9D">
        <w:rPr>
          <w:sz w:val="20"/>
          <w:szCs w:val="20"/>
        </w:rPr>
        <w:t xml:space="preserve"> </w:t>
      </w:r>
      <w:r w:rsidR="00E80016" w:rsidRPr="00990E9D">
        <w:rPr>
          <w:sz w:val="20"/>
          <w:szCs w:val="20"/>
        </w:rPr>
        <w:t>6</w:t>
      </w:r>
      <w:r w:rsidR="00E80016" w:rsidRPr="00990E9D">
        <w:rPr>
          <w:sz w:val="20"/>
          <w:szCs w:val="20"/>
          <w:vertAlign w:val="superscript"/>
        </w:rPr>
        <w:t>th</w:t>
      </w:r>
      <w:r w:rsidR="00E80016" w:rsidRPr="00990E9D">
        <w:rPr>
          <w:sz w:val="20"/>
          <w:szCs w:val="20"/>
        </w:rPr>
        <w:t xml:space="preserve"> </w:t>
      </w:r>
      <w:proofErr w:type="gramStart"/>
      <w:r w:rsidR="00E80016" w:rsidRPr="00990E9D">
        <w:rPr>
          <w:sz w:val="20"/>
          <w:szCs w:val="20"/>
        </w:rPr>
        <w:t>April,</w:t>
      </w:r>
      <w:proofErr w:type="gramEnd"/>
      <w:r w:rsidR="00E80016" w:rsidRPr="00990E9D">
        <w:rPr>
          <w:sz w:val="20"/>
          <w:szCs w:val="20"/>
        </w:rPr>
        <w:t xml:space="preserve"> </w:t>
      </w:r>
      <w:r w:rsidR="00C24C80" w:rsidRPr="00990E9D">
        <w:rPr>
          <w:sz w:val="20"/>
          <w:szCs w:val="20"/>
        </w:rPr>
        <w:t>13</w:t>
      </w:r>
      <w:r w:rsidR="00C24C80" w:rsidRPr="00990E9D">
        <w:rPr>
          <w:sz w:val="20"/>
          <w:szCs w:val="20"/>
          <w:vertAlign w:val="superscript"/>
        </w:rPr>
        <w:t>th</w:t>
      </w:r>
      <w:r w:rsidR="00C24C80" w:rsidRPr="00990E9D">
        <w:rPr>
          <w:sz w:val="20"/>
          <w:szCs w:val="20"/>
        </w:rPr>
        <w:t xml:space="preserve"> July, and 16</w:t>
      </w:r>
      <w:r w:rsidR="00C24C80" w:rsidRPr="00990E9D">
        <w:rPr>
          <w:sz w:val="20"/>
          <w:szCs w:val="20"/>
          <w:vertAlign w:val="superscript"/>
        </w:rPr>
        <w:t>th</w:t>
      </w:r>
      <w:r w:rsidR="00C24C80" w:rsidRPr="00990E9D">
        <w:rPr>
          <w:sz w:val="20"/>
          <w:szCs w:val="20"/>
        </w:rPr>
        <w:t xml:space="preserve"> November</w:t>
      </w:r>
    </w:p>
    <w:p w14:paraId="59BE1F3E" w14:textId="77777777" w:rsidR="001E33CD" w:rsidRPr="00990E9D" w:rsidRDefault="001E33CD" w:rsidP="001E33CD">
      <w:pPr>
        <w:pStyle w:val="ListParagraph"/>
        <w:rPr>
          <w:sz w:val="20"/>
          <w:szCs w:val="20"/>
        </w:rPr>
      </w:pPr>
    </w:p>
    <w:p w14:paraId="4920140C" w14:textId="23B8E385" w:rsidR="00727CDA" w:rsidRDefault="00727CDA" w:rsidP="00B106BF">
      <w:pPr>
        <w:pStyle w:val="ListParagraph"/>
        <w:numPr>
          <w:ilvl w:val="0"/>
          <w:numId w:val="3"/>
        </w:numPr>
        <w:rPr>
          <w:sz w:val="20"/>
          <w:szCs w:val="20"/>
        </w:rPr>
      </w:pPr>
      <w:r w:rsidRPr="00990E9D">
        <w:rPr>
          <w:b/>
          <w:bCs/>
          <w:sz w:val="20"/>
          <w:szCs w:val="20"/>
        </w:rPr>
        <w:t xml:space="preserve">PLANNING UPDATE – </w:t>
      </w:r>
      <w:r w:rsidRPr="00990E9D">
        <w:rPr>
          <w:sz w:val="20"/>
          <w:szCs w:val="20"/>
        </w:rPr>
        <w:t>KF</w:t>
      </w:r>
      <w:r w:rsidR="00156A5D" w:rsidRPr="00990E9D">
        <w:rPr>
          <w:sz w:val="20"/>
          <w:szCs w:val="20"/>
        </w:rPr>
        <w:t xml:space="preserve"> Presented a summary of recent Planning Applications which he had summarised into 3 x categories of Decisions, Under Consultation and Current Applications still within a timescale to respond to. TMPC approved the summary framework. HTB sought clarification as to whether KF’s prepared summaries should be held electronically. KF agreed to forward each summary to RA for electronic storage. Additionally, RA was tasked to respond to ordinary Planning Applications on behalf of TMPC once he had received a general group response from TMPC members.</w:t>
      </w:r>
    </w:p>
    <w:p w14:paraId="3EEA9D36" w14:textId="77777777" w:rsidR="00525557" w:rsidRPr="00990E9D" w:rsidRDefault="00525557" w:rsidP="00525557">
      <w:pPr>
        <w:pStyle w:val="ListParagraph"/>
        <w:ind w:left="502"/>
        <w:rPr>
          <w:sz w:val="20"/>
          <w:szCs w:val="20"/>
        </w:rPr>
      </w:pPr>
    </w:p>
    <w:p w14:paraId="5CC8E72B" w14:textId="2237CD3E" w:rsidR="001E33CD" w:rsidRPr="00525557" w:rsidRDefault="00B106BF" w:rsidP="00525557">
      <w:pPr>
        <w:pStyle w:val="ListParagraph"/>
        <w:numPr>
          <w:ilvl w:val="0"/>
          <w:numId w:val="3"/>
        </w:numPr>
        <w:rPr>
          <w:sz w:val="20"/>
          <w:szCs w:val="20"/>
        </w:rPr>
      </w:pPr>
      <w:r w:rsidRPr="00525557">
        <w:rPr>
          <w:b/>
          <w:bCs/>
          <w:sz w:val="20"/>
          <w:szCs w:val="20"/>
        </w:rPr>
        <w:t xml:space="preserve">LAND AUCTION THEYDON MOUNT – </w:t>
      </w:r>
      <w:r w:rsidR="00E13016" w:rsidRPr="00525557">
        <w:rPr>
          <w:sz w:val="20"/>
          <w:szCs w:val="20"/>
        </w:rPr>
        <w:t>TMPC determined that this item warranted no further discussion.</w:t>
      </w:r>
    </w:p>
    <w:p w14:paraId="053F63B4" w14:textId="77777777" w:rsidR="00990E9D" w:rsidRPr="00990E9D" w:rsidRDefault="00990E9D" w:rsidP="00990E9D">
      <w:pPr>
        <w:pStyle w:val="ListParagraph"/>
        <w:ind w:left="993"/>
        <w:rPr>
          <w:sz w:val="20"/>
          <w:szCs w:val="20"/>
        </w:rPr>
      </w:pPr>
    </w:p>
    <w:p w14:paraId="11E1A016" w14:textId="3169925B" w:rsidR="00E13016" w:rsidRPr="00990E9D" w:rsidRDefault="005C7F3F" w:rsidP="00E13016">
      <w:pPr>
        <w:pStyle w:val="ListParagraph"/>
        <w:numPr>
          <w:ilvl w:val="0"/>
          <w:numId w:val="3"/>
        </w:numPr>
        <w:rPr>
          <w:sz w:val="20"/>
          <w:szCs w:val="20"/>
        </w:rPr>
      </w:pPr>
      <w:r w:rsidRPr="00990E9D">
        <w:rPr>
          <w:b/>
          <w:bCs/>
          <w:sz w:val="20"/>
          <w:szCs w:val="20"/>
        </w:rPr>
        <w:t xml:space="preserve">HIGHWAYS SUBMISSION </w:t>
      </w:r>
      <w:r w:rsidR="00E13016" w:rsidRPr="00990E9D">
        <w:rPr>
          <w:b/>
          <w:bCs/>
          <w:sz w:val="20"/>
          <w:szCs w:val="20"/>
        </w:rPr>
        <w:t xml:space="preserve">– </w:t>
      </w:r>
      <w:r w:rsidRPr="00990E9D">
        <w:rPr>
          <w:sz w:val="20"/>
          <w:szCs w:val="20"/>
        </w:rPr>
        <w:t>PC</w:t>
      </w:r>
      <w:r w:rsidR="00E13016" w:rsidRPr="00990E9D">
        <w:rPr>
          <w:sz w:val="20"/>
          <w:szCs w:val="20"/>
        </w:rPr>
        <w:t xml:space="preserve"> updated TMPC on the Local Highways Panel response and proposals to remedy the main signs and road markings challenges raised in our case to them. RA added that he had copied the outcomes letter to TGPC and was asked to do the same for STPC</w:t>
      </w:r>
      <w:r w:rsidR="00E13016" w:rsidRPr="00990E9D">
        <w:rPr>
          <w:b/>
          <w:bCs/>
          <w:sz w:val="20"/>
          <w:szCs w:val="20"/>
        </w:rPr>
        <w:t>. Action -</w:t>
      </w:r>
      <w:r w:rsidR="00E13016" w:rsidRPr="00990E9D">
        <w:rPr>
          <w:sz w:val="20"/>
          <w:szCs w:val="20"/>
        </w:rPr>
        <w:t>RA</w:t>
      </w:r>
    </w:p>
    <w:p w14:paraId="43D3B91A" w14:textId="20E4286B" w:rsidR="0079179B" w:rsidRPr="00990E9D" w:rsidRDefault="00E13016" w:rsidP="00990E9D">
      <w:pPr>
        <w:ind w:left="502"/>
        <w:rPr>
          <w:sz w:val="20"/>
          <w:szCs w:val="20"/>
        </w:rPr>
      </w:pPr>
      <w:r w:rsidRPr="00990E9D">
        <w:rPr>
          <w:sz w:val="20"/>
          <w:szCs w:val="20"/>
        </w:rPr>
        <w:t>On another matter TMPC discussed the merits</w:t>
      </w:r>
      <w:r w:rsidR="0079179B" w:rsidRPr="00990E9D">
        <w:rPr>
          <w:sz w:val="20"/>
          <w:szCs w:val="20"/>
        </w:rPr>
        <w:t>/disadvantages of individual residents raising concerns to relevant authorities regarding traffic (or indeed other) concerns without engaging TMPC advice.</w:t>
      </w:r>
    </w:p>
    <w:p w14:paraId="7C723F83" w14:textId="4C5E2C09" w:rsidR="00240427" w:rsidRPr="00990E9D" w:rsidRDefault="00240427" w:rsidP="00240427">
      <w:pPr>
        <w:pStyle w:val="ListParagraph"/>
        <w:numPr>
          <w:ilvl w:val="0"/>
          <w:numId w:val="3"/>
        </w:numPr>
        <w:rPr>
          <w:sz w:val="20"/>
          <w:szCs w:val="20"/>
        </w:rPr>
      </w:pPr>
      <w:r w:rsidRPr="00990E9D">
        <w:rPr>
          <w:b/>
          <w:bCs/>
          <w:sz w:val="20"/>
          <w:szCs w:val="20"/>
        </w:rPr>
        <w:t xml:space="preserve">FINANCES – </w:t>
      </w:r>
      <w:r w:rsidRPr="00990E9D">
        <w:rPr>
          <w:sz w:val="20"/>
          <w:szCs w:val="20"/>
        </w:rPr>
        <w:t>MH</w:t>
      </w:r>
      <w:r w:rsidR="0084048F" w:rsidRPr="00990E9D">
        <w:rPr>
          <w:sz w:val="20"/>
          <w:szCs w:val="20"/>
        </w:rPr>
        <w:t xml:space="preserve"> reported that the AGAR forms were now </w:t>
      </w:r>
      <w:proofErr w:type="gramStart"/>
      <w:r w:rsidR="0084048F" w:rsidRPr="00990E9D">
        <w:rPr>
          <w:sz w:val="20"/>
          <w:szCs w:val="20"/>
        </w:rPr>
        <w:t>available</w:t>
      </w:r>
      <w:proofErr w:type="gramEnd"/>
      <w:r w:rsidR="0084048F" w:rsidRPr="00990E9D">
        <w:rPr>
          <w:sz w:val="20"/>
          <w:szCs w:val="20"/>
        </w:rPr>
        <w:t xml:space="preserve"> and he would have all documents ready for the AGM having scheduled a meeting with the previous Finance Officer. The TMPC bank balance was in good </w:t>
      </w:r>
      <w:proofErr w:type="gramStart"/>
      <w:r w:rsidR="0084048F" w:rsidRPr="00990E9D">
        <w:rPr>
          <w:sz w:val="20"/>
          <w:szCs w:val="20"/>
        </w:rPr>
        <w:t>shape</w:t>
      </w:r>
      <w:proofErr w:type="gramEnd"/>
      <w:r w:rsidR="0084048F" w:rsidRPr="00990E9D">
        <w:rPr>
          <w:sz w:val="20"/>
          <w:szCs w:val="20"/>
        </w:rPr>
        <w:t xml:space="preserve"> and he would process any outstanding payments and receipts in time for the AGFM.</w:t>
      </w:r>
    </w:p>
    <w:p w14:paraId="66DCB7E2" w14:textId="77777777" w:rsidR="001E33CD" w:rsidRPr="00990E9D" w:rsidRDefault="001E33CD" w:rsidP="001E33CD">
      <w:pPr>
        <w:pStyle w:val="ListParagraph"/>
        <w:rPr>
          <w:b/>
          <w:bCs/>
          <w:sz w:val="20"/>
          <w:szCs w:val="20"/>
        </w:rPr>
      </w:pPr>
    </w:p>
    <w:p w14:paraId="08DA70D7" w14:textId="7E2DC1D4" w:rsidR="00240427" w:rsidRPr="00990E9D" w:rsidRDefault="00240427" w:rsidP="00240427">
      <w:pPr>
        <w:pStyle w:val="ListParagraph"/>
        <w:numPr>
          <w:ilvl w:val="0"/>
          <w:numId w:val="3"/>
        </w:numPr>
        <w:rPr>
          <w:b/>
          <w:bCs/>
          <w:sz w:val="20"/>
          <w:szCs w:val="20"/>
        </w:rPr>
      </w:pPr>
      <w:r w:rsidRPr="00990E9D">
        <w:rPr>
          <w:b/>
          <w:bCs/>
          <w:sz w:val="20"/>
          <w:szCs w:val="20"/>
        </w:rPr>
        <w:t>DEVOLUTION – ALL</w:t>
      </w:r>
    </w:p>
    <w:p w14:paraId="2A90E2BA" w14:textId="77777777" w:rsidR="0084048F" w:rsidRPr="00990E9D" w:rsidRDefault="00240427" w:rsidP="0084048F">
      <w:pPr>
        <w:ind w:left="502"/>
        <w:rPr>
          <w:sz w:val="20"/>
          <w:szCs w:val="20"/>
        </w:rPr>
      </w:pPr>
      <w:r w:rsidRPr="00990E9D">
        <w:rPr>
          <w:sz w:val="20"/>
          <w:szCs w:val="20"/>
        </w:rPr>
        <w:t>R</w:t>
      </w:r>
      <w:r w:rsidR="0084048F" w:rsidRPr="00990E9D">
        <w:rPr>
          <w:sz w:val="20"/>
          <w:szCs w:val="20"/>
        </w:rPr>
        <w:t xml:space="preserve">A circulated the latest NALC update on Devolution. PC advocated that at the appropriate times local parish councils could benefit from the preparation and representation of joint concerns and interests in respect of </w:t>
      </w:r>
      <w:proofErr w:type="spellStart"/>
      <w:r w:rsidR="0084048F" w:rsidRPr="00990E9D">
        <w:rPr>
          <w:sz w:val="20"/>
          <w:szCs w:val="20"/>
        </w:rPr>
        <w:t>Devolution.</w:t>
      </w:r>
      <w:proofErr w:type="spellEnd"/>
    </w:p>
    <w:p w14:paraId="28610DB1" w14:textId="39865166" w:rsidR="001E33CD" w:rsidRPr="00990E9D" w:rsidRDefault="001E33CD" w:rsidP="001E33CD">
      <w:pPr>
        <w:pStyle w:val="ListParagraph"/>
        <w:numPr>
          <w:ilvl w:val="0"/>
          <w:numId w:val="3"/>
        </w:numPr>
        <w:rPr>
          <w:sz w:val="20"/>
          <w:szCs w:val="20"/>
        </w:rPr>
      </w:pPr>
      <w:r w:rsidRPr="00990E9D">
        <w:rPr>
          <w:b/>
          <w:bCs/>
          <w:sz w:val="20"/>
          <w:szCs w:val="20"/>
        </w:rPr>
        <w:lastRenderedPageBreak/>
        <w:t xml:space="preserve">NEWSLETTER UPDATE – </w:t>
      </w:r>
      <w:r w:rsidR="008C0625" w:rsidRPr="00990E9D">
        <w:rPr>
          <w:sz w:val="20"/>
          <w:szCs w:val="20"/>
        </w:rPr>
        <w:t>PC agreed to prepare a Chairs Report for the Newsletter. RA added that he had invited District Councillors and Community Officers</w:t>
      </w:r>
      <w:r w:rsidR="00E37935" w:rsidRPr="00990E9D">
        <w:rPr>
          <w:sz w:val="20"/>
          <w:szCs w:val="20"/>
        </w:rPr>
        <w:t xml:space="preserve"> but was awaiting confirmations of intended attendance. RA agreed to chase al invitees up.</w:t>
      </w:r>
    </w:p>
    <w:p w14:paraId="4A834679" w14:textId="5960575D" w:rsidR="001E33CD" w:rsidRPr="00990E9D" w:rsidRDefault="00E37935" w:rsidP="00ED7DD2">
      <w:pPr>
        <w:ind w:left="142" w:firstLine="360"/>
        <w:rPr>
          <w:b/>
          <w:bCs/>
          <w:sz w:val="20"/>
          <w:szCs w:val="20"/>
        </w:rPr>
      </w:pPr>
      <w:r w:rsidRPr="00990E9D">
        <w:rPr>
          <w:b/>
          <w:bCs/>
          <w:sz w:val="20"/>
          <w:szCs w:val="20"/>
        </w:rPr>
        <w:t xml:space="preserve">Action - </w:t>
      </w:r>
      <w:r w:rsidRPr="00990E9D">
        <w:rPr>
          <w:sz w:val="20"/>
          <w:szCs w:val="20"/>
        </w:rPr>
        <w:t>RA</w:t>
      </w:r>
    </w:p>
    <w:p w14:paraId="04939D2E" w14:textId="2F07CD6B" w:rsidR="004B1F0B" w:rsidRDefault="004B1F0B" w:rsidP="004B1F0B">
      <w:pPr>
        <w:pStyle w:val="ListParagraph"/>
        <w:numPr>
          <w:ilvl w:val="0"/>
          <w:numId w:val="3"/>
        </w:numPr>
        <w:rPr>
          <w:sz w:val="20"/>
          <w:szCs w:val="20"/>
        </w:rPr>
      </w:pPr>
      <w:r w:rsidRPr="00990E9D">
        <w:rPr>
          <w:b/>
          <w:bCs/>
          <w:sz w:val="20"/>
          <w:szCs w:val="20"/>
        </w:rPr>
        <w:t>AGM/PUBLIC MEETING UPDATE:</w:t>
      </w:r>
      <w:r w:rsidR="00ED7DD2" w:rsidRPr="00990E9D">
        <w:rPr>
          <w:b/>
          <w:bCs/>
          <w:sz w:val="20"/>
          <w:szCs w:val="20"/>
        </w:rPr>
        <w:t xml:space="preserve"> </w:t>
      </w:r>
      <w:r w:rsidR="00ED7DD2" w:rsidRPr="00990E9D">
        <w:rPr>
          <w:sz w:val="20"/>
          <w:szCs w:val="20"/>
        </w:rPr>
        <w:t>general discussion considered that most important matters were in a good state of readiness but after debate regarding presentation of some of these via a projector and screen it was decided to prepare an information pack instead.</w:t>
      </w:r>
    </w:p>
    <w:p w14:paraId="361235E7" w14:textId="38E39245" w:rsidR="001E33CD" w:rsidRDefault="00525557" w:rsidP="00525557">
      <w:pPr>
        <w:pStyle w:val="ListParagraph"/>
        <w:ind w:left="502"/>
        <w:rPr>
          <w:sz w:val="20"/>
          <w:szCs w:val="20"/>
        </w:rPr>
      </w:pPr>
      <w:r w:rsidRPr="00525557">
        <w:rPr>
          <w:sz w:val="20"/>
          <w:szCs w:val="20"/>
        </w:rPr>
        <w:t xml:space="preserve">HTB briefed TMPC that </w:t>
      </w:r>
      <w:r>
        <w:rPr>
          <w:sz w:val="20"/>
          <w:szCs w:val="20"/>
        </w:rPr>
        <w:t xml:space="preserve">in accordance with his remit to prepare an agenda item for the AGM regarding a Village sign </w:t>
      </w:r>
      <w:r w:rsidRPr="00525557">
        <w:rPr>
          <w:sz w:val="20"/>
          <w:szCs w:val="20"/>
        </w:rPr>
        <w:t xml:space="preserve">he had explored the prospect of </w:t>
      </w:r>
      <w:r>
        <w:rPr>
          <w:sz w:val="20"/>
          <w:szCs w:val="20"/>
        </w:rPr>
        <w:t xml:space="preserve">such </w:t>
      </w:r>
      <w:r w:rsidRPr="00525557">
        <w:rPr>
          <w:sz w:val="20"/>
          <w:szCs w:val="20"/>
        </w:rPr>
        <w:t>a sign with a fabricator at North Weald</w:t>
      </w:r>
      <w:r>
        <w:rPr>
          <w:b/>
          <w:bCs/>
          <w:sz w:val="20"/>
          <w:szCs w:val="20"/>
        </w:rPr>
        <w:t>.</w:t>
      </w:r>
      <w:r>
        <w:rPr>
          <w:sz w:val="20"/>
          <w:szCs w:val="20"/>
        </w:rPr>
        <w:t xml:space="preserve"> This discussion led to the realisation that the fabricator could prepare the top part of the sign for an exceptional price much lower that previous estimates. HTB would then arrange for the artwork for the sign to be delivered through local talents.</w:t>
      </w:r>
    </w:p>
    <w:p w14:paraId="7F4D86C9" w14:textId="77777777" w:rsidR="00525557" w:rsidRPr="00525557" w:rsidRDefault="00525557" w:rsidP="00525557">
      <w:pPr>
        <w:pStyle w:val="ListParagraph"/>
        <w:ind w:left="502"/>
        <w:rPr>
          <w:sz w:val="20"/>
          <w:szCs w:val="20"/>
        </w:rPr>
      </w:pPr>
    </w:p>
    <w:p w14:paraId="16F73DCF" w14:textId="77777777" w:rsidR="00B242D5" w:rsidRPr="00B242D5" w:rsidRDefault="004B1F0B" w:rsidP="004B1F0B">
      <w:pPr>
        <w:pStyle w:val="ListParagraph"/>
        <w:numPr>
          <w:ilvl w:val="0"/>
          <w:numId w:val="3"/>
        </w:numPr>
        <w:rPr>
          <w:b/>
          <w:bCs/>
          <w:sz w:val="20"/>
          <w:szCs w:val="20"/>
        </w:rPr>
      </w:pPr>
      <w:r w:rsidRPr="00990E9D">
        <w:rPr>
          <w:b/>
          <w:bCs/>
          <w:sz w:val="20"/>
          <w:szCs w:val="20"/>
        </w:rPr>
        <w:t xml:space="preserve">VE DAY CELEBRATIONS UPDATE </w:t>
      </w:r>
      <w:r w:rsidR="00C86A96" w:rsidRPr="00990E9D">
        <w:rPr>
          <w:b/>
          <w:bCs/>
          <w:sz w:val="20"/>
          <w:szCs w:val="20"/>
        </w:rPr>
        <w:t>–</w:t>
      </w:r>
      <w:r w:rsidRPr="00990E9D">
        <w:rPr>
          <w:b/>
          <w:bCs/>
          <w:sz w:val="20"/>
          <w:szCs w:val="20"/>
        </w:rPr>
        <w:t xml:space="preserve"> </w:t>
      </w:r>
      <w:r w:rsidRPr="00990E9D">
        <w:rPr>
          <w:sz w:val="20"/>
          <w:szCs w:val="20"/>
        </w:rPr>
        <w:t>RA</w:t>
      </w:r>
      <w:r w:rsidR="00ED7DD2" w:rsidRPr="00990E9D">
        <w:rPr>
          <w:sz w:val="20"/>
          <w:szCs w:val="20"/>
        </w:rPr>
        <w:t xml:space="preserve"> briefed TMPC that he had circulated a message to adjacent PC’s regarding the possibility of a shared event. Three </w:t>
      </w:r>
      <w:proofErr w:type="gramStart"/>
      <w:r w:rsidR="00ED7DD2" w:rsidRPr="00990E9D">
        <w:rPr>
          <w:sz w:val="20"/>
          <w:szCs w:val="20"/>
        </w:rPr>
        <w:t>PC’s</w:t>
      </w:r>
      <w:proofErr w:type="gramEnd"/>
      <w:r w:rsidR="00ED7DD2" w:rsidRPr="00990E9D">
        <w:rPr>
          <w:sz w:val="20"/>
          <w:szCs w:val="20"/>
        </w:rPr>
        <w:t xml:space="preserve"> responded that they were arranging their own Beacon Lighting event and STPC added that they were considering an event on the car park of the Doghouse Public House. Given TMPC’s prior ambivalence about the date and its short timing RA determined not to progress the matter any further.</w:t>
      </w:r>
      <w:r w:rsidR="00990E9D" w:rsidRPr="00990E9D">
        <w:rPr>
          <w:sz w:val="20"/>
          <w:szCs w:val="20"/>
        </w:rPr>
        <w:t xml:space="preserve"> RA was tasked with asking STPC whether TMPC residents could join their event with the promise of assistance with preparations and costs. </w:t>
      </w:r>
    </w:p>
    <w:p w14:paraId="168BA41F" w14:textId="2C2EB58A" w:rsidR="004B1F0B" w:rsidRPr="00990E9D" w:rsidRDefault="00990E9D" w:rsidP="00B242D5">
      <w:pPr>
        <w:pStyle w:val="ListParagraph"/>
        <w:ind w:left="502"/>
        <w:rPr>
          <w:b/>
          <w:bCs/>
          <w:sz w:val="20"/>
          <w:szCs w:val="20"/>
        </w:rPr>
      </w:pPr>
      <w:r w:rsidRPr="00990E9D">
        <w:rPr>
          <w:b/>
          <w:bCs/>
          <w:sz w:val="20"/>
          <w:szCs w:val="20"/>
        </w:rPr>
        <w:t>Action</w:t>
      </w:r>
      <w:r w:rsidRPr="00990E9D">
        <w:rPr>
          <w:sz w:val="20"/>
          <w:szCs w:val="20"/>
        </w:rPr>
        <w:t xml:space="preserve"> RA</w:t>
      </w:r>
    </w:p>
    <w:p w14:paraId="7B20C575" w14:textId="77777777" w:rsidR="001E33CD" w:rsidRPr="00990E9D" w:rsidRDefault="001E33CD" w:rsidP="001E33CD">
      <w:pPr>
        <w:pStyle w:val="ListParagraph"/>
        <w:rPr>
          <w:b/>
          <w:bCs/>
          <w:sz w:val="20"/>
          <w:szCs w:val="20"/>
        </w:rPr>
      </w:pPr>
    </w:p>
    <w:p w14:paraId="3A114FE0" w14:textId="2B0ED7A5" w:rsidR="001E33CD" w:rsidRPr="00B242D5" w:rsidRDefault="001E33CD" w:rsidP="004B1F0B">
      <w:pPr>
        <w:pStyle w:val="ListParagraph"/>
        <w:numPr>
          <w:ilvl w:val="0"/>
          <w:numId w:val="3"/>
        </w:numPr>
        <w:rPr>
          <w:sz w:val="20"/>
          <w:szCs w:val="20"/>
        </w:rPr>
      </w:pPr>
      <w:r w:rsidRPr="00990E9D">
        <w:rPr>
          <w:b/>
          <w:bCs/>
          <w:sz w:val="20"/>
          <w:szCs w:val="20"/>
        </w:rPr>
        <w:t>REPORT BACK</w:t>
      </w:r>
      <w:r w:rsidR="00C95EEF" w:rsidRPr="00990E9D">
        <w:rPr>
          <w:b/>
          <w:bCs/>
          <w:sz w:val="20"/>
          <w:szCs w:val="20"/>
        </w:rPr>
        <w:t>/DISCUSSION</w:t>
      </w:r>
      <w:r w:rsidRPr="00990E9D">
        <w:rPr>
          <w:b/>
          <w:bCs/>
          <w:sz w:val="20"/>
          <w:szCs w:val="20"/>
        </w:rPr>
        <w:t xml:space="preserve"> ON INTRO TO PLANNING COURSE</w:t>
      </w:r>
      <w:r w:rsidR="00B242D5">
        <w:rPr>
          <w:b/>
          <w:bCs/>
          <w:sz w:val="20"/>
          <w:szCs w:val="20"/>
        </w:rPr>
        <w:t xml:space="preserve">: </w:t>
      </w:r>
      <w:r w:rsidR="00B242D5" w:rsidRPr="00B242D5">
        <w:rPr>
          <w:sz w:val="20"/>
          <w:szCs w:val="20"/>
        </w:rPr>
        <w:t>KF briefed TMPC on the general impressions emerging from the training day. The wind of change was changing the balance between Government policy and local representation.</w:t>
      </w:r>
      <w:r w:rsidR="00B242D5">
        <w:rPr>
          <w:sz w:val="20"/>
          <w:szCs w:val="20"/>
        </w:rPr>
        <w:t xml:space="preserve"> RA circulated two local Plan documents and a second document covering parish council powers and responsibilities.</w:t>
      </w:r>
    </w:p>
    <w:p w14:paraId="5CA1BEEC" w14:textId="77777777" w:rsidR="007D438E" w:rsidRPr="00990E9D" w:rsidRDefault="007D438E" w:rsidP="007D438E">
      <w:pPr>
        <w:pStyle w:val="ListParagraph"/>
        <w:rPr>
          <w:b/>
          <w:bCs/>
          <w:sz w:val="20"/>
          <w:szCs w:val="20"/>
        </w:rPr>
      </w:pPr>
    </w:p>
    <w:p w14:paraId="4ED5015A" w14:textId="79866A2E" w:rsidR="007D438E" w:rsidRPr="00A135BC" w:rsidRDefault="007D438E" w:rsidP="004B1F0B">
      <w:pPr>
        <w:pStyle w:val="ListParagraph"/>
        <w:numPr>
          <w:ilvl w:val="0"/>
          <w:numId w:val="3"/>
        </w:numPr>
        <w:rPr>
          <w:b/>
          <w:bCs/>
          <w:sz w:val="20"/>
          <w:szCs w:val="20"/>
        </w:rPr>
      </w:pPr>
      <w:r w:rsidRPr="00990E9D">
        <w:rPr>
          <w:b/>
          <w:bCs/>
          <w:sz w:val="20"/>
          <w:szCs w:val="20"/>
        </w:rPr>
        <w:t xml:space="preserve">CORRESPONDENCE </w:t>
      </w:r>
      <w:r w:rsidR="00A135BC">
        <w:rPr>
          <w:b/>
          <w:bCs/>
          <w:sz w:val="20"/>
          <w:szCs w:val="20"/>
        </w:rPr>
        <w:t>–</w:t>
      </w:r>
      <w:r w:rsidRPr="00990E9D">
        <w:rPr>
          <w:b/>
          <w:bCs/>
          <w:sz w:val="20"/>
          <w:szCs w:val="20"/>
        </w:rPr>
        <w:t xml:space="preserve"> </w:t>
      </w:r>
      <w:r w:rsidRPr="00B242D5">
        <w:rPr>
          <w:sz w:val="20"/>
          <w:szCs w:val="20"/>
        </w:rPr>
        <w:t>RA</w:t>
      </w:r>
      <w:r w:rsidR="00A135BC">
        <w:rPr>
          <w:sz w:val="20"/>
          <w:szCs w:val="20"/>
        </w:rPr>
        <w:t xml:space="preserve"> Notified TMPC of a forthcoming online information session organised by EFDC to advise members about the Community Infrastructure Levy (CIL). The session was to be held on 31</w:t>
      </w:r>
      <w:r w:rsidR="00A135BC" w:rsidRPr="00A135BC">
        <w:rPr>
          <w:sz w:val="20"/>
          <w:szCs w:val="20"/>
          <w:vertAlign w:val="superscript"/>
        </w:rPr>
        <w:t>st</w:t>
      </w:r>
      <w:r w:rsidR="00A135BC">
        <w:rPr>
          <w:sz w:val="20"/>
          <w:szCs w:val="20"/>
        </w:rPr>
        <w:t xml:space="preserve"> March 2025 and RA would attend and report back to TMPC. </w:t>
      </w:r>
    </w:p>
    <w:p w14:paraId="5B547F31" w14:textId="7C563F50" w:rsidR="00A135BC" w:rsidRPr="00757CB4" w:rsidRDefault="00A135BC" w:rsidP="00A135BC">
      <w:pPr>
        <w:ind w:left="502"/>
        <w:rPr>
          <w:sz w:val="20"/>
          <w:szCs w:val="20"/>
        </w:rPr>
      </w:pPr>
      <w:proofErr w:type="gramStart"/>
      <w:r w:rsidRPr="00757CB4">
        <w:rPr>
          <w:sz w:val="20"/>
          <w:szCs w:val="20"/>
        </w:rPr>
        <w:t>Additionally</w:t>
      </w:r>
      <w:proofErr w:type="gramEnd"/>
      <w:r w:rsidRPr="00757CB4">
        <w:rPr>
          <w:sz w:val="20"/>
          <w:szCs w:val="20"/>
        </w:rPr>
        <w:t xml:space="preserve"> RA reported a correspondence regarding Section 137 expenditure which stated that the rate for section 137 expenditure had increased to £11.10 for each registered elector in the parish. Should TMPC identify a suitable rationale for claiming such funds the claim could be worth up to £2000 for TMPC in addition to the Precept. RA briefly described what section 137 expenditure covered and encouraged all councillors to inform themselves about the opportunity.</w:t>
      </w:r>
      <w:r w:rsidR="00757CB4" w:rsidRPr="00757CB4">
        <w:rPr>
          <w:sz w:val="20"/>
          <w:szCs w:val="20"/>
        </w:rPr>
        <w:t xml:space="preserve"> RA closed his report by alerting councillors to a publication entitled </w:t>
      </w:r>
      <w:proofErr w:type="gramStart"/>
      <w:r w:rsidR="00757CB4" w:rsidRPr="00757CB4">
        <w:rPr>
          <w:b/>
          <w:bCs/>
          <w:i/>
          <w:iCs/>
          <w:sz w:val="20"/>
          <w:szCs w:val="20"/>
        </w:rPr>
        <w:t>The</w:t>
      </w:r>
      <w:proofErr w:type="gramEnd"/>
      <w:r w:rsidR="00757CB4" w:rsidRPr="00757CB4">
        <w:rPr>
          <w:b/>
          <w:bCs/>
          <w:i/>
          <w:iCs/>
          <w:sz w:val="20"/>
          <w:szCs w:val="20"/>
        </w:rPr>
        <w:t xml:space="preserve"> A-Z of Funders</w:t>
      </w:r>
      <w:r w:rsidR="00757CB4" w:rsidRPr="00757CB4">
        <w:rPr>
          <w:sz w:val="20"/>
          <w:szCs w:val="20"/>
        </w:rPr>
        <w:t xml:space="preserve"> with a view to purchasing the book for TMPC.</w:t>
      </w:r>
    </w:p>
    <w:p w14:paraId="764F5E4F" w14:textId="77777777" w:rsidR="00757CB4" w:rsidRDefault="00757CB4" w:rsidP="00757CB4">
      <w:pPr>
        <w:rPr>
          <w:b/>
          <w:bCs/>
          <w:sz w:val="20"/>
          <w:szCs w:val="20"/>
        </w:rPr>
      </w:pPr>
    </w:p>
    <w:p w14:paraId="07CB2B34" w14:textId="09B69F4E" w:rsidR="00757CB4" w:rsidRPr="00757CB4" w:rsidRDefault="00757CB4" w:rsidP="00757CB4">
      <w:pPr>
        <w:tabs>
          <w:tab w:val="left" w:pos="426"/>
        </w:tabs>
        <w:rPr>
          <w:b/>
          <w:bCs/>
          <w:sz w:val="20"/>
          <w:szCs w:val="20"/>
        </w:rPr>
      </w:pPr>
      <w:r>
        <w:rPr>
          <w:b/>
          <w:bCs/>
          <w:sz w:val="20"/>
          <w:szCs w:val="20"/>
        </w:rPr>
        <w:tab/>
      </w:r>
      <w:r>
        <w:rPr>
          <w:b/>
          <w:bCs/>
          <w:noProof/>
          <w:sz w:val="20"/>
          <w:szCs w:val="20"/>
        </w:rPr>
        <w:drawing>
          <wp:inline distT="0" distB="0" distL="0" distR="0" wp14:anchorId="07A1A06A" wp14:editId="3E0A2B9C">
            <wp:extent cx="1457325" cy="304800"/>
            <wp:effectExtent l="0" t="0" r="9525" b="0"/>
            <wp:docPr id="1746470072" name="Picture 1" descr="A black rope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70072" name="Picture 1" descr="A black rope in the shape of a hear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7325" cy="304800"/>
                    </a:xfrm>
                    <a:prstGeom prst="rect">
                      <a:avLst/>
                    </a:prstGeom>
                  </pic:spPr>
                </pic:pic>
              </a:graphicData>
            </a:graphic>
          </wp:inline>
        </w:drawing>
      </w:r>
      <w:r>
        <w:rPr>
          <w:b/>
          <w:bCs/>
          <w:sz w:val="20"/>
          <w:szCs w:val="20"/>
        </w:rPr>
        <w:t xml:space="preserve"> Peter Connell Chair of TMPC</w:t>
      </w:r>
      <w:r>
        <w:rPr>
          <w:b/>
          <w:bCs/>
          <w:sz w:val="20"/>
          <w:szCs w:val="20"/>
        </w:rPr>
        <w:tab/>
      </w:r>
      <w:r>
        <w:rPr>
          <w:b/>
          <w:bCs/>
          <w:sz w:val="20"/>
          <w:szCs w:val="20"/>
        </w:rPr>
        <w:tab/>
        <w:t>1</w:t>
      </w:r>
      <w:r w:rsidRPr="00757CB4">
        <w:rPr>
          <w:b/>
          <w:bCs/>
          <w:sz w:val="20"/>
          <w:szCs w:val="20"/>
          <w:vertAlign w:val="superscript"/>
        </w:rPr>
        <w:t>st</w:t>
      </w:r>
      <w:r>
        <w:rPr>
          <w:b/>
          <w:bCs/>
          <w:sz w:val="20"/>
          <w:szCs w:val="20"/>
        </w:rPr>
        <w:t xml:space="preserve"> April 2025</w:t>
      </w:r>
    </w:p>
    <w:p w14:paraId="0BC07484" w14:textId="77777777" w:rsidR="00C86A96" w:rsidRPr="00990E9D" w:rsidRDefault="00C86A96" w:rsidP="00C86A96">
      <w:pPr>
        <w:rPr>
          <w:b/>
          <w:bCs/>
          <w:sz w:val="20"/>
          <w:szCs w:val="20"/>
        </w:rPr>
      </w:pPr>
    </w:p>
    <w:p w14:paraId="376B133F" w14:textId="77777777" w:rsidR="009C0F9B" w:rsidRPr="00990E9D" w:rsidRDefault="009C0F9B" w:rsidP="00C86A96">
      <w:pPr>
        <w:rPr>
          <w:b/>
          <w:bCs/>
          <w:sz w:val="20"/>
          <w:szCs w:val="20"/>
        </w:rPr>
      </w:pPr>
    </w:p>
    <w:p w14:paraId="7CD54F92" w14:textId="77777777" w:rsidR="009C0F9B" w:rsidRPr="00990E9D" w:rsidRDefault="009C0F9B" w:rsidP="00C86A96">
      <w:pPr>
        <w:rPr>
          <w:b/>
          <w:bCs/>
          <w:sz w:val="20"/>
          <w:szCs w:val="20"/>
        </w:rPr>
      </w:pPr>
    </w:p>
    <w:p w14:paraId="10698924" w14:textId="77777777" w:rsidR="009C0F9B" w:rsidRPr="00990E9D" w:rsidRDefault="009C0F9B" w:rsidP="00C86A96">
      <w:pPr>
        <w:rPr>
          <w:b/>
          <w:bCs/>
          <w:sz w:val="20"/>
          <w:szCs w:val="20"/>
        </w:rPr>
      </w:pPr>
    </w:p>
    <w:p w14:paraId="1C71AE3C" w14:textId="77777777" w:rsidR="00B106BF" w:rsidRDefault="00B106BF"/>
    <w:p w14:paraId="79E64177" w14:textId="7B1AF863" w:rsidR="00B106BF" w:rsidRDefault="00B106BF">
      <w:r>
        <w:tab/>
      </w:r>
    </w:p>
    <w:sectPr w:rsidR="00B106BF" w:rsidSect="00757C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B78"/>
    <w:multiLevelType w:val="hybridMultilevel"/>
    <w:tmpl w:val="300C84AC"/>
    <w:lvl w:ilvl="0" w:tplc="40D82BD2">
      <w:start w:val="1"/>
      <w:numFmt w:val="decimal"/>
      <w:lvlText w:val="%1."/>
      <w:lvlJc w:val="left"/>
      <w:pPr>
        <w:ind w:left="502"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90FCC"/>
    <w:multiLevelType w:val="hybridMultilevel"/>
    <w:tmpl w:val="13B6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02D3B"/>
    <w:multiLevelType w:val="hybridMultilevel"/>
    <w:tmpl w:val="D4B26DCC"/>
    <w:lvl w:ilvl="0" w:tplc="C00CFC18">
      <w:numFmt w:val="bullet"/>
      <w:lvlText w:val=""/>
      <w:lvlJc w:val="left"/>
      <w:pPr>
        <w:ind w:left="612" w:hanging="359"/>
      </w:pPr>
      <w:rPr>
        <w:rFonts w:ascii="Symbol" w:eastAsia="Symbol" w:hAnsi="Symbol" w:cs="Symbol" w:hint="default"/>
        <w:b w:val="0"/>
        <w:bCs w:val="0"/>
        <w:i w:val="0"/>
        <w:iCs w:val="0"/>
        <w:spacing w:val="0"/>
        <w:w w:val="100"/>
        <w:sz w:val="22"/>
        <w:szCs w:val="22"/>
        <w:lang w:val="en-US" w:eastAsia="en-US" w:bidi="ar-SA"/>
      </w:rPr>
    </w:lvl>
    <w:lvl w:ilvl="1" w:tplc="F11C76E2">
      <w:numFmt w:val="bullet"/>
      <w:lvlText w:val="•"/>
      <w:lvlJc w:val="left"/>
      <w:pPr>
        <w:ind w:left="1592" w:hanging="359"/>
      </w:pPr>
      <w:rPr>
        <w:rFonts w:hint="default"/>
        <w:lang w:val="en-US" w:eastAsia="en-US" w:bidi="ar-SA"/>
      </w:rPr>
    </w:lvl>
    <w:lvl w:ilvl="2" w:tplc="3D0C4B76">
      <w:numFmt w:val="bullet"/>
      <w:lvlText w:val="•"/>
      <w:lvlJc w:val="left"/>
      <w:pPr>
        <w:ind w:left="2565" w:hanging="359"/>
      </w:pPr>
      <w:rPr>
        <w:rFonts w:hint="default"/>
        <w:lang w:val="en-US" w:eastAsia="en-US" w:bidi="ar-SA"/>
      </w:rPr>
    </w:lvl>
    <w:lvl w:ilvl="3" w:tplc="78F4A3BA">
      <w:numFmt w:val="bullet"/>
      <w:lvlText w:val="•"/>
      <w:lvlJc w:val="left"/>
      <w:pPr>
        <w:ind w:left="3537" w:hanging="359"/>
      </w:pPr>
      <w:rPr>
        <w:rFonts w:hint="default"/>
        <w:lang w:val="en-US" w:eastAsia="en-US" w:bidi="ar-SA"/>
      </w:rPr>
    </w:lvl>
    <w:lvl w:ilvl="4" w:tplc="81249FFC">
      <w:numFmt w:val="bullet"/>
      <w:lvlText w:val="•"/>
      <w:lvlJc w:val="left"/>
      <w:pPr>
        <w:ind w:left="4510" w:hanging="359"/>
      </w:pPr>
      <w:rPr>
        <w:rFonts w:hint="default"/>
        <w:lang w:val="en-US" w:eastAsia="en-US" w:bidi="ar-SA"/>
      </w:rPr>
    </w:lvl>
    <w:lvl w:ilvl="5" w:tplc="F106383C">
      <w:numFmt w:val="bullet"/>
      <w:lvlText w:val="•"/>
      <w:lvlJc w:val="left"/>
      <w:pPr>
        <w:ind w:left="5483" w:hanging="359"/>
      </w:pPr>
      <w:rPr>
        <w:rFonts w:hint="default"/>
        <w:lang w:val="en-US" w:eastAsia="en-US" w:bidi="ar-SA"/>
      </w:rPr>
    </w:lvl>
    <w:lvl w:ilvl="6" w:tplc="CB24AAFE">
      <w:numFmt w:val="bullet"/>
      <w:lvlText w:val="•"/>
      <w:lvlJc w:val="left"/>
      <w:pPr>
        <w:ind w:left="6455" w:hanging="359"/>
      </w:pPr>
      <w:rPr>
        <w:rFonts w:hint="default"/>
        <w:lang w:val="en-US" w:eastAsia="en-US" w:bidi="ar-SA"/>
      </w:rPr>
    </w:lvl>
    <w:lvl w:ilvl="7" w:tplc="4A90FD36">
      <w:numFmt w:val="bullet"/>
      <w:lvlText w:val="•"/>
      <w:lvlJc w:val="left"/>
      <w:pPr>
        <w:ind w:left="7428" w:hanging="359"/>
      </w:pPr>
      <w:rPr>
        <w:rFonts w:hint="default"/>
        <w:lang w:val="en-US" w:eastAsia="en-US" w:bidi="ar-SA"/>
      </w:rPr>
    </w:lvl>
    <w:lvl w:ilvl="8" w:tplc="C97658AE">
      <w:numFmt w:val="bullet"/>
      <w:lvlText w:val="•"/>
      <w:lvlJc w:val="left"/>
      <w:pPr>
        <w:ind w:left="8401" w:hanging="359"/>
      </w:pPr>
      <w:rPr>
        <w:rFonts w:hint="default"/>
        <w:lang w:val="en-US" w:eastAsia="en-US" w:bidi="ar-SA"/>
      </w:rPr>
    </w:lvl>
  </w:abstractNum>
  <w:abstractNum w:abstractNumId="3" w15:restartNumberingAfterBreak="0">
    <w:nsid w:val="2A59476B"/>
    <w:multiLevelType w:val="hybridMultilevel"/>
    <w:tmpl w:val="302E9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B3757"/>
    <w:multiLevelType w:val="hybridMultilevel"/>
    <w:tmpl w:val="87B8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745A8"/>
    <w:multiLevelType w:val="hybridMultilevel"/>
    <w:tmpl w:val="72EC4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227BCE"/>
    <w:multiLevelType w:val="hybridMultilevel"/>
    <w:tmpl w:val="DFD0E20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B3617A"/>
    <w:multiLevelType w:val="hybridMultilevel"/>
    <w:tmpl w:val="85741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1E0DDD"/>
    <w:multiLevelType w:val="hybridMultilevel"/>
    <w:tmpl w:val="23D88890"/>
    <w:lvl w:ilvl="0" w:tplc="730E5E2A">
      <w:numFmt w:val="bullet"/>
      <w:lvlText w:val=""/>
      <w:lvlJc w:val="left"/>
      <w:pPr>
        <w:ind w:left="754" w:hanging="360"/>
      </w:pPr>
      <w:rPr>
        <w:rFonts w:ascii="Symbol" w:eastAsia="Symbol" w:hAnsi="Symbol" w:cs="Symbol" w:hint="default"/>
        <w:b w:val="0"/>
        <w:bCs w:val="0"/>
        <w:i w:val="0"/>
        <w:iCs w:val="0"/>
        <w:spacing w:val="0"/>
        <w:w w:val="100"/>
        <w:sz w:val="22"/>
        <w:szCs w:val="22"/>
        <w:lang w:val="en-US" w:eastAsia="en-US" w:bidi="ar-SA"/>
      </w:rPr>
    </w:lvl>
    <w:lvl w:ilvl="1" w:tplc="E93638A6">
      <w:numFmt w:val="bullet"/>
      <w:lvlText w:val="•"/>
      <w:lvlJc w:val="left"/>
      <w:pPr>
        <w:ind w:left="1718" w:hanging="360"/>
      </w:pPr>
      <w:rPr>
        <w:rFonts w:hint="default"/>
        <w:lang w:val="en-US" w:eastAsia="en-US" w:bidi="ar-SA"/>
      </w:rPr>
    </w:lvl>
    <w:lvl w:ilvl="2" w:tplc="C4B86950">
      <w:numFmt w:val="bullet"/>
      <w:lvlText w:val="•"/>
      <w:lvlJc w:val="left"/>
      <w:pPr>
        <w:ind w:left="2677" w:hanging="360"/>
      </w:pPr>
      <w:rPr>
        <w:rFonts w:hint="default"/>
        <w:lang w:val="en-US" w:eastAsia="en-US" w:bidi="ar-SA"/>
      </w:rPr>
    </w:lvl>
    <w:lvl w:ilvl="3" w:tplc="C1EE7694">
      <w:numFmt w:val="bullet"/>
      <w:lvlText w:val="•"/>
      <w:lvlJc w:val="left"/>
      <w:pPr>
        <w:ind w:left="3635" w:hanging="360"/>
      </w:pPr>
      <w:rPr>
        <w:rFonts w:hint="default"/>
        <w:lang w:val="en-US" w:eastAsia="en-US" w:bidi="ar-SA"/>
      </w:rPr>
    </w:lvl>
    <w:lvl w:ilvl="4" w:tplc="977877B0">
      <w:numFmt w:val="bullet"/>
      <w:lvlText w:val="•"/>
      <w:lvlJc w:val="left"/>
      <w:pPr>
        <w:ind w:left="4594" w:hanging="360"/>
      </w:pPr>
      <w:rPr>
        <w:rFonts w:hint="default"/>
        <w:lang w:val="en-US" w:eastAsia="en-US" w:bidi="ar-SA"/>
      </w:rPr>
    </w:lvl>
    <w:lvl w:ilvl="5" w:tplc="1BDC2720">
      <w:numFmt w:val="bullet"/>
      <w:lvlText w:val="•"/>
      <w:lvlJc w:val="left"/>
      <w:pPr>
        <w:ind w:left="5553" w:hanging="360"/>
      </w:pPr>
      <w:rPr>
        <w:rFonts w:hint="default"/>
        <w:lang w:val="en-US" w:eastAsia="en-US" w:bidi="ar-SA"/>
      </w:rPr>
    </w:lvl>
    <w:lvl w:ilvl="6" w:tplc="7DEEAB2A">
      <w:numFmt w:val="bullet"/>
      <w:lvlText w:val="•"/>
      <w:lvlJc w:val="left"/>
      <w:pPr>
        <w:ind w:left="6511" w:hanging="360"/>
      </w:pPr>
      <w:rPr>
        <w:rFonts w:hint="default"/>
        <w:lang w:val="en-US" w:eastAsia="en-US" w:bidi="ar-SA"/>
      </w:rPr>
    </w:lvl>
    <w:lvl w:ilvl="7" w:tplc="0D70FEB6">
      <w:numFmt w:val="bullet"/>
      <w:lvlText w:val="•"/>
      <w:lvlJc w:val="left"/>
      <w:pPr>
        <w:ind w:left="7470" w:hanging="360"/>
      </w:pPr>
      <w:rPr>
        <w:rFonts w:hint="default"/>
        <w:lang w:val="en-US" w:eastAsia="en-US" w:bidi="ar-SA"/>
      </w:rPr>
    </w:lvl>
    <w:lvl w:ilvl="8" w:tplc="2F36A9A2">
      <w:numFmt w:val="bullet"/>
      <w:lvlText w:val="•"/>
      <w:lvlJc w:val="left"/>
      <w:pPr>
        <w:ind w:left="8429" w:hanging="360"/>
      </w:pPr>
      <w:rPr>
        <w:rFonts w:hint="default"/>
        <w:lang w:val="en-US" w:eastAsia="en-US" w:bidi="ar-SA"/>
      </w:rPr>
    </w:lvl>
  </w:abstractNum>
  <w:abstractNum w:abstractNumId="9" w15:restartNumberingAfterBreak="0">
    <w:nsid w:val="6C6D6FE8"/>
    <w:multiLevelType w:val="hybridMultilevel"/>
    <w:tmpl w:val="EBBE6A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902ECB"/>
    <w:multiLevelType w:val="hybridMultilevel"/>
    <w:tmpl w:val="077A52A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3577876">
    <w:abstractNumId w:val="7"/>
  </w:num>
  <w:num w:numId="2" w16cid:durableId="1488595501">
    <w:abstractNumId w:val="9"/>
  </w:num>
  <w:num w:numId="3" w16cid:durableId="906962693">
    <w:abstractNumId w:val="0"/>
  </w:num>
  <w:num w:numId="4" w16cid:durableId="2024552529">
    <w:abstractNumId w:val="3"/>
  </w:num>
  <w:num w:numId="5" w16cid:durableId="16783568">
    <w:abstractNumId w:val="1"/>
  </w:num>
  <w:num w:numId="6" w16cid:durableId="1782798392">
    <w:abstractNumId w:val="2"/>
  </w:num>
  <w:num w:numId="7" w16cid:durableId="1743480810">
    <w:abstractNumId w:val="8"/>
  </w:num>
  <w:num w:numId="8" w16cid:durableId="708064670">
    <w:abstractNumId w:val="5"/>
  </w:num>
  <w:num w:numId="9" w16cid:durableId="1771200317">
    <w:abstractNumId w:val="10"/>
  </w:num>
  <w:num w:numId="10" w16cid:durableId="1569993084">
    <w:abstractNumId w:val="6"/>
  </w:num>
  <w:num w:numId="11" w16cid:durableId="1256401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2F"/>
    <w:rsid w:val="00016733"/>
    <w:rsid w:val="00056DF5"/>
    <w:rsid w:val="00091489"/>
    <w:rsid w:val="000A5A2F"/>
    <w:rsid w:val="000C09F9"/>
    <w:rsid w:val="00156A5D"/>
    <w:rsid w:val="00171EDB"/>
    <w:rsid w:val="00197FFE"/>
    <w:rsid w:val="001E33CD"/>
    <w:rsid w:val="00235384"/>
    <w:rsid w:val="00240427"/>
    <w:rsid w:val="002737E7"/>
    <w:rsid w:val="0027523E"/>
    <w:rsid w:val="002B0FA8"/>
    <w:rsid w:val="002D264F"/>
    <w:rsid w:val="002E5F7D"/>
    <w:rsid w:val="004B1F0B"/>
    <w:rsid w:val="004B59AE"/>
    <w:rsid w:val="00525557"/>
    <w:rsid w:val="00590DD2"/>
    <w:rsid w:val="005C7F3F"/>
    <w:rsid w:val="0064094E"/>
    <w:rsid w:val="00727CDA"/>
    <w:rsid w:val="00757CB4"/>
    <w:rsid w:val="0079179B"/>
    <w:rsid w:val="007D438E"/>
    <w:rsid w:val="0084048F"/>
    <w:rsid w:val="00884DC3"/>
    <w:rsid w:val="008C0625"/>
    <w:rsid w:val="008E6EDD"/>
    <w:rsid w:val="008F5528"/>
    <w:rsid w:val="00990E9D"/>
    <w:rsid w:val="009A0335"/>
    <w:rsid w:val="009C0F9B"/>
    <w:rsid w:val="00A135BC"/>
    <w:rsid w:val="00B106BF"/>
    <w:rsid w:val="00B242D5"/>
    <w:rsid w:val="00C173E0"/>
    <w:rsid w:val="00C24C80"/>
    <w:rsid w:val="00C609D9"/>
    <w:rsid w:val="00C86A96"/>
    <w:rsid w:val="00C95EEF"/>
    <w:rsid w:val="00CD484B"/>
    <w:rsid w:val="00D0190E"/>
    <w:rsid w:val="00D34584"/>
    <w:rsid w:val="00E13016"/>
    <w:rsid w:val="00E37935"/>
    <w:rsid w:val="00E80016"/>
    <w:rsid w:val="00ED7DD2"/>
    <w:rsid w:val="00F70F74"/>
    <w:rsid w:val="00FF1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9222"/>
  <w15:chartTrackingRefBased/>
  <w15:docId w15:val="{2C710BBA-C975-4AF7-806C-D53EB7B9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A2F"/>
    <w:rPr>
      <w:rFonts w:eastAsiaTheme="majorEastAsia" w:cstheme="majorBidi"/>
      <w:color w:val="272727" w:themeColor="text1" w:themeTint="D8"/>
    </w:rPr>
  </w:style>
  <w:style w:type="paragraph" w:styleId="Title">
    <w:name w:val="Title"/>
    <w:basedOn w:val="Normal"/>
    <w:next w:val="Normal"/>
    <w:link w:val="TitleChar"/>
    <w:uiPriority w:val="10"/>
    <w:qFormat/>
    <w:rsid w:val="000A5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A2F"/>
    <w:pPr>
      <w:spacing w:before="160"/>
      <w:jc w:val="center"/>
    </w:pPr>
    <w:rPr>
      <w:i/>
      <w:iCs/>
      <w:color w:val="404040" w:themeColor="text1" w:themeTint="BF"/>
    </w:rPr>
  </w:style>
  <w:style w:type="character" w:customStyle="1" w:styleId="QuoteChar">
    <w:name w:val="Quote Char"/>
    <w:basedOn w:val="DefaultParagraphFont"/>
    <w:link w:val="Quote"/>
    <w:uiPriority w:val="29"/>
    <w:rsid w:val="000A5A2F"/>
    <w:rPr>
      <w:i/>
      <w:iCs/>
      <w:color w:val="404040" w:themeColor="text1" w:themeTint="BF"/>
    </w:rPr>
  </w:style>
  <w:style w:type="paragraph" w:styleId="ListParagraph">
    <w:name w:val="List Paragraph"/>
    <w:basedOn w:val="Normal"/>
    <w:uiPriority w:val="1"/>
    <w:qFormat/>
    <w:rsid w:val="000A5A2F"/>
    <w:pPr>
      <w:ind w:left="720"/>
      <w:contextualSpacing/>
    </w:pPr>
  </w:style>
  <w:style w:type="character" w:styleId="IntenseEmphasis">
    <w:name w:val="Intense Emphasis"/>
    <w:basedOn w:val="DefaultParagraphFont"/>
    <w:uiPriority w:val="21"/>
    <w:qFormat/>
    <w:rsid w:val="000A5A2F"/>
    <w:rPr>
      <w:i/>
      <w:iCs/>
      <w:color w:val="0F4761" w:themeColor="accent1" w:themeShade="BF"/>
    </w:rPr>
  </w:style>
  <w:style w:type="paragraph" w:styleId="IntenseQuote">
    <w:name w:val="Intense Quote"/>
    <w:basedOn w:val="Normal"/>
    <w:next w:val="Normal"/>
    <w:link w:val="IntenseQuoteChar"/>
    <w:uiPriority w:val="30"/>
    <w:qFormat/>
    <w:rsid w:val="000A5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A2F"/>
    <w:rPr>
      <w:i/>
      <w:iCs/>
      <w:color w:val="0F4761" w:themeColor="accent1" w:themeShade="BF"/>
    </w:rPr>
  </w:style>
  <w:style w:type="character" w:styleId="IntenseReference">
    <w:name w:val="Intense Reference"/>
    <w:basedOn w:val="DefaultParagraphFont"/>
    <w:uiPriority w:val="32"/>
    <w:qFormat/>
    <w:rsid w:val="000A5A2F"/>
    <w:rPr>
      <w:b/>
      <w:bCs/>
      <w:smallCaps/>
      <w:color w:val="0F4761" w:themeColor="accent1" w:themeShade="BF"/>
      <w:spacing w:val="5"/>
    </w:rPr>
  </w:style>
  <w:style w:type="character" w:styleId="Hyperlink">
    <w:name w:val="Hyperlink"/>
    <w:basedOn w:val="DefaultParagraphFont"/>
    <w:uiPriority w:val="99"/>
    <w:unhideWhenUsed/>
    <w:rsid w:val="009A0335"/>
    <w:rPr>
      <w:color w:val="467886" w:themeColor="hyperlink"/>
      <w:u w:val="single"/>
    </w:rPr>
  </w:style>
  <w:style w:type="character" w:styleId="UnresolvedMention">
    <w:name w:val="Unresolved Mention"/>
    <w:basedOn w:val="DefaultParagraphFont"/>
    <w:uiPriority w:val="99"/>
    <w:semiHidden/>
    <w:unhideWhenUsed/>
    <w:rsid w:val="009A0335"/>
    <w:rPr>
      <w:color w:val="605E5C"/>
      <w:shd w:val="clear" w:color="auto" w:fill="E1DFDD"/>
    </w:rPr>
  </w:style>
  <w:style w:type="paragraph" w:styleId="BodyText">
    <w:name w:val="Body Text"/>
    <w:basedOn w:val="Normal"/>
    <w:link w:val="BodyTextChar"/>
    <w:uiPriority w:val="1"/>
    <w:qFormat/>
    <w:rsid w:val="009C0F9B"/>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9C0F9B"/>
    <w:rPr>
      <w:rFonts w:ascii="Calibri" w:eastAsia="Calibri" w:hAnsi="Calibri" w:cs="Calibri"/>
      <w:kern w:val="0"/>
      <w:lang w:val="en-US"/>
      <w14:ligatures w14:val="none"/>
    </w:rPr>
  </w:style>
  <w:style w:type="paragraph" w:customStyle="1" w:styleId="TableParagraph">
    <w:name w:val="Table Paragraph"/>
    <w:basedOn w:val="Normal"/>
    <w:uiPriority w:val="1"/>
    <w:qFormat/>
    <w:rsid w:val="009C0F9B"/>
    <w:pPr>
      <w:widowControl w:val="0"/>
      <w:autoSpaceDE w:val="0"/>
      <w:autoSpaceDN w:val="0"/>
      <w:spacing w:after="0" w:line="266" w:lineRule="exact"/>
      <w:ind w:left="301"/>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1560</TotalTime>
  <Pages>2</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 Angood</cp:lastModifiedBy>
  <cp:revision>7</cp:revision>
  <cp:lastPrinted>2025-03-20T12:01:00Z</cp:lastPrinted>
  <dcterms:created xsi:type="dcterms:W3CDTF">2025-03-30T09:54:00Z</dcterms:created>
  <dcterms:modified xsi:type="dcterms:W3CDTF">2025-04-01T11:02:00Z</dcterms:modified>
</cp:coreProperties>
</file>