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92C2" w14:textId="2043F431" w:rsidR="002E5F7D" w:rsidRPr="005F6725" w:rsidRDefault="00325493" w:rsidP="002E5ED1">
      <w:pPr>
        <w:jc w:val="center"/>
        <w:rPr>
          <w:b/>
          <w:bCs/>
        </w:rPr>
      </w:pPr>
      <w:r w:rsidRPr="005F6725">
        <w:rPr>
          <w:b/>
          <w:bCs/>
        </w:rPr>
        <w:t>MINUTES OF THEYDON MOUNT PARISH COUNCIL OGM HELD AT 7pm ON MONDAY 10</w:t>
      </w:r>
      <w:r w:rsidRPr="005F6725">
        <w:rPr>
          <w:b/>
          <w:bCs/>
          <w:vertAlign w:val="superscript"/>
        </w:rPr>
        <w:t>th</w:t>
      </w:r>
      <w:r w:rsidRPr="005F6725">
        <w:rPr>
          <w:b/>
          <w:bCs/>
        </w:rPr>
        <w:t xml:space="preserve"> FEBRUARY AT MOUNT FARM</w:t>
      </w:r>
    </w:p>
    <w:p w14:paraId="2D72F589" w14:textId="13C4E9BD" w:rsidR="00325493" w:rsidRDefault="00325493" w:rsidP="00651AB3">
      <w:pPr>
        <w:pStyle w:val="ListParagraph"/>
        <w:numPr>
          <w:ilvl w:val="0"/>
          <w:numId w:val="4"/>
        </w:numPr>
      </w:pPr>
      <w:r w:rsidRPr="00651AB3">
        <w:rPr>
          <w:b/>
          <w:bCs/>
        </w:rPr>
        <w:t>Apologies:</w:t>
      </w:r>
      <w:r>
        <w:t xml:space="preserve"> Heather Brady</w:t>
      </w:r>
    </w:p>
    <w:p w14:paraId="2BAC6D76" w14:textId="117D2201" w:rsidR="00325493" w:rsidRDefault="00325493" w:rsidP="00651AB3">
      <w:pPr>
        <w:pStyle w:val="ListParagraph"/>
        <w:numPr>
          <w:ilvl w:val="0"/>
          <w:numId w:val="4"/>
        </w:numPr>
      </w:pPr>
      <w:r w:rsidRPr="00651AB3">
        <w:rPr>
          <w:b/>
          <w:bCs/>
        </w:rPr>
        <w:t>In Attendance:</w:t>
      </w:r>
      <w:r>
        <w:t xml:space="preserve"> Peter Connell (PC) – Chair, Keith Farrow (KF), Hilliard Brewitt (HTB), Martin Hudson (MH) &amp; Rod Angood (RA) – Clerk. Also in attendance were </w:t>
      </w:r>
      <w:r w:rsidR="002F4C50">
        <w:t xml:space="preserve">PC Karen West and PC Andy Cook – Community Safety Engagement Officers for the </w:t>
      </w:r>
      <w:proofErr w:type="spellStart"/>
      <w:r w:rsidR="002F4C50">
        <w:t>Passingford</w:t>
      </w:r>
      <w:proofErr w:type="spellEnd"/>
      <w:r w:rsidR="002F4C50">
        <w:t xml:space="preserve"> ward.</w:t>
      </w:r>
    </w:p>
    <w:p w14:paraId="7CCCA058" w14:textId="7CA3BBD1" w:rsidR="00325493" w:rsidRDefault="00325493" w:rsidP="00651AB3">
      <w:pPr>
        <w:pStyle w:val="ListParagraph"/>
        <w:numPr>
          <w:ilvl w:val="0"/>
          <w:numId w:val="4"/>
        </w:numPr>
      </w:pPr>
      <w:r w:rsidRPr="00651AB3">
        <w:rPr>
          <w:b/>
          <w:bCs/>
        </w:rPr>
        <w:t>Declarations of Interest:</w:t>
      </w:r>
      <w:r>
        <w:t xml:space="preserve"> None</w:t>
      </w:r>
    </w:p>
    <w:p w14:paraId="1149226B" w14:textId="65E13435" w:rsidR="00325493" w:rsidRDefault="00325493" w:rsidP="00651AB3">
      <w:pPr>
        <w:pStyle w:val="ListParagraph"/>
        <w:numPr>
          <w:ilvl w:val="0"/>
          <w:numId w:val="4"/>
        </w:numPr>
      </w:pPr>
      <w:r w:rsidRPr="00651AB3">
        <w:rPr>
          <w:b/>
          <w:bCs/>
        </w:rPr>
        <w:t>Minutes of Last Meeting:</w:t>
      </w:r>
      <w:r>
        <w:t xml:space="preserve"> - Ratified – RA to publish</w:t>
      </w:r>
    </w:p>
    <w:p w14:paraId="40D25A75" w14:textId="261E5B59" w:rsidR="002F4C50" w:rsidRDefault="002F4C50">
      <w:r w:rsidRPr="005F6725">
        <w:rPr>
          <w:b/>
          <w:bCs/>
        </w:rPr>
        <w:t>Introduction:</w:t>
      </w:r>
      <w:r>
        <w:t xml:space="preserve"> PC welcomed both Community Safety Engagement Officers and sought to ascertain from them whether there was more that could be done to reduce the risks on the parish roads and bring about improved traffic calming measures. PC highlighted two of the main Road Traffic Accident (RTA) risk locations, mentioned the parish initiative to collect and collate the history of </w:t>
      </w:r>
      <w:proofErr w:type="gramStart"/>
      <w:r>
        <w:t>RTA’s</w:t>
      </w:r>
      <w:proofErr w:type="gramEnd"/>
      <w:r>
        <w:t xml:space="preserve"> at these locations, and stated that the completed report was expected to be </w:t>
      </w:r>
      <w:r w:rsidR="00D96DBE">
        <w:t>considered</w:t>
      </w:r>
      <w:r>
        <w:t xml:space="preserve"> by the Local Highways Panel at EFDC in March 2025.</w:t>
      </w:r>
    </w:p>
    <w:p w14:paraId="52DE7A9F" w14:textId="6E6EC8F1" w:rsidR="005F6725" w:rsidRDefault="005F6725">
      <w:r>
        <w:t>PC Cook confirmed that not all RTA’s were reported to the police due mainly to the involved drivers determining to resolve the accident damages through their insurances. This had the effect of reducing the number of accidents that were “counted”.</w:t>
      </w:r>
    </w:p>
    <w:p w14:paraId="795D5809" w14:textId="0648BBC9" w:rsidR="005F6725" w:rsidRDefault="005F6725">
      <w:r>
        <w:t>Discussion centred on many of the lapsed maintenance issues that exacerbated the high risks of future RTA’s such as</w:t>
      </w:r>
      <w:r w:rsidR="00E12DE3">
        <w:t xml:space="preserve"> lost or indistinct white lines at junctions, demolished road signs that had not been re-fitted and the need for adequate warning signs for motorists.</w:t>
      </w:r>
    </w:p>
    <w:p w14:paraId="79186CEC" w14:textId="4FF40AE9" w:rsidR="00E12DE3" w:rsidRDefault="00E12DE3">
      <w:r>
        <w:t>PC enquired whether there was any possibility of getting some police input to the problem mentioning how approved planning measures were going to significantly add more traffic into the Banks Lane/Mount Road junction.</w:t>
      </w:r>
    </w:p>
    <w:p w14:paraId="7CB75BE3" w14:textId="789D6D8D" w:rsidR="00E12DE3" w:rsidRDefault="00E12DE3">
      <w:r>
        <w:t xml:space="preserve">It was recognised by the Community Safety Engagement Officers that TMPC was doing all that could be done to raise awareness </w:t>
      </w:r>
      <w:r w:rsidR="00C45405">
        <w:t>of</w:t>
      </w:r>
      <w:r>
        <w:t xml:space="preserve"> the problem.</w:t>
      </w:r>
    </w:p>
    <w:p w14:paraId="3EE5A4DC" w14:textId="78D8F83B" w:rsidR="00325493" w:rsidRPr="002E5ED1" w:rsidRDefault="00C45405">
      <w:r>
        <w:t>PC moved on to the potential risk of Travellers gaining access to a hard standing area on Epping Lane. An injunction was in force restraining anyone from setting any form of mobile home on the property in question. The injunction listed a set of names but also covered un-named persons from misusing the site. TMPC felt that a posted version of the injunction should always be visible at the entrance to the site.</w:t>
      </w:r>
      <w:r w:rsidR="00533F44" w:rsidRPr="002E5ED1">
        <w:t xml:space="preserve"> </w:t>
      </w:r>
      <w:r w:rsidR="00533F44" w:rsidRPr="002E5ED1">
        <w:rPr>
          <w:b/>
          <w:bCs/>
        </w:rPr>
        <w:t>Action</w:t>
      </w:r>
      <w:r w:rsidR="00533F44" w:rsidRPr="002E5ED1">
        <w:rPr>
          <w:b/>
          <w:bCs/>
          <w:i/>
          <w:iCs/>
        </w:rPr>
        <w:t xml:space="preserve"> </w:t>
      </w:r>
      <w:r w:rsidR="00533F44" w:rsidRPr="004661D8">
        <w:rPr>
          <w:b/>
          <w:bCs/>
          <w:i/>
          <w:iCs/>
          <w:color w:val="FF0000"/>
        </w:rPr>
        <w:t xml:space="preserve">- </w:t>
      </w:r>
      <w:r w:rsidR="00533F44" w:rsidRPr="002E5ED1">
        <w:t xml:space="preserve">RA to obtain photographs of the site </w:t>
      </w:r>
    </w:p>
    <w:p w14:paraId="1003ABF5" w14:textId="11C3A2CA" w:rsidR="00D96DBE" w:rsidRDefault="00D96DBE">
      <w:r>
        <w:t>TMPC extended an invitation to both officers to attend the AGM in April. RA confirmed that he would issue an email invitation. PC Karen West suggested that she bring an officer from the Rural Engagement Team to that meeting. TMPC gladly accepted the offer.</w:t>
      </w:r>
    </w:p>
    <w:p w14:paraId="1BAE1E00" w14:textId="5974EA69" w:rsidR="00D96DBE" w:rsidRPr="00840100" w:rsidRDefault="00651AB3">
      <w:pPr>
        <w:rPr>
          <w:b/>
          <w:bCs/>
        </w:rPr>
      </w:pPr>
      <w:r>
        <w:rPr>
          <w:b/>
          <w:bCs/>
        </w:rPr>
        <w:t>5.1</w:t>
      </w:r>
      <w:r>
        <w:rPr>
          <w:b/>
          <w:bCs/>
        </w:rPr>
        <w:tab/>
      </w:r>
      <w:r w:rsidR="00D96DBE" w:rsidRPr="00840100">
        <w:rPr>
          <w:b/>
          <w:bCs/>
        </w:rPr>
        <w:t xml:space="preserve">Planning and Projects for the Year: </w:t>
      </w:r>
    </w:p>
    <w:p w14:paraId="0315ABFD" w14:textId="77777777" w:rsidR="00BE1DFF" w:rsidRDefault="00F574D8" w:rsidP="00BE1DFF">
      <w:r w:rsidRPr="00840100">
        <w:rPr>
          <w:b/>
          <w:bCs/>
        </w:rPr>
        <w:t>Village Sign</w:t>
      </w:r>
      <w:r>
        <w:t xml:space="preserve"> – PC reported that he had asked KF to identify suitable sites where such a sign might be positioned. </w:t>
      </w:r>
      <w:r w:rsidR="00BE1DFF">
        <w:t>The short list comprised of:</w:t>
      </w:r>
    </w:p>
    <w:p w14:paraId="232F2F06" w14:textId="14AA4A1C" w:rsidR="00BE1DFF" w:rsidRDefault="00BE1DFF" w:rsidP="00BE1DFF">
      <w:pPr>
        <w:pStyle w:val="ListParagraph"/>
        <w:numPr>
          <w:ilvl w:val="0"/>
          <w:numId w:val="1"/>
        </w:numPr>
        <w:tabs>
          <w:tab w:val="left" w:pos="993"/>
        </w:tabs>
        <w:ind w:left="567" w:hanging="54"/>
      </w:pPr>
      <w:r>
        <w:t>Triangle patch below HB’s house</w:t>
      </w:r>
    </w:p>
    <w:p w14:paraId="044482B0" w14:textId="7C18AA75" w:rsidR="00BE1DFF" w:rsidRDefault="00BE1DFF" w:rsidP="00BE1DFF">
      <w:pPr>
        <w:pStyle w:val="ListParagraph"/>
        <w:numPr>
          <w:ilvl w:val="0"/>
          <w:numId w:val="1"/>
        </w:numPr>
        <w:tabs>
          <w:tab w:val="left" w:pos="993"/>
          <w:tab w:val="left" w:pos="1276"/>
          <w:tab w:val="left" w:pos="1560"/>
        </w:tabs>
        <w:ind w:left="851"/>
      </w:pPr>
      <w:r>
        <w:t xml:space="preserve">   Beside the telephone box</w:t>
      </w:r>
    </w:p>
    <w:p w14:paraId="558593D6" w14:textId="0EBB5DC6" w:rsidR="00BE1DFF" w:rsidRDefault="00BE1DFF" w:rsidP="00BE1DFF">
      <w:pPr>
        <w:pStyle w:val="ListParagraph"/>
        <w:numPr>
          <w:ilvl w:val="0"/>
          <w:numId w:val="1"/>
        </w:numPr>
        <w:tabs>
          <w:tab w:val="left" w:pos="993"/>
        </w:tabs>
        <w:ind w:left="426" w:firstLine="87"/>
      </w:pPr>
      <w:r>
        <w:t xml:space="preserve">Green Sward by the entrance to Hill </w:t>
      </w:r>
      <w:r w:rsidR="00776F42">
        <w:t>H</w:t>
      </w:r>
      <w:r>
        <w:t>all</w:t>
      </w:r>
    </w:p>
    <w:p w14:paraId="0774CD8D" w14:textId="77777777" w:rsidR="004C6A2F" w:rsidRDefault="00BE1DFF" w:rsidP="004C6A2F">
      <w:pPr>
        <w:pStyle w:val="ListParagraph"/>
        <w:numPr>
          <w:ilvl w:val="0"/>
          <w:numId w:val="1"/>
        </w:numPr>
        <w:ind w:left="851"/>
      </w:pPr>
      <w:r>
        <w:t xml:space="preserve">   Verge outside Taw Lodge</w:t>
      </w:r>
    </w:p>
    <w:p w14:paraId="71779C0B" w14:textId="5984743B" w:rsidR="00BE1DFF" w:rsidRDefault="004C6A2F" w:rsidP="004C6A2F">
      <w:pPr>
        <w:pStyle w:val="ListParagraph"/>
        <w:numPr>
          <w:ilvl w:val="0"/>
          <w:numId w:val="1"/>
        </w:numPr>
        <w:ind w:left="851"/>
      </w:pPr>
      <w:r>
        <w:t xml:space="preserve">   </w:t>
      </w:r>
      <w:r w:rsidR="00BE1DFF">
        <w:t>Small triangle at the entrance to Coleman’s Farm</w:t>
      </w:r>
      <w:r w:rsidR="00776F42">
        <w:t xml:space="preserve"> on Mount Road</w:t>
      </w:r>
    </w:p>
    <w:p w14:paraId="2C6B87A2" w14:textId="2C9A5B03" w:rsidR="004C6A2F" w:rsidRDefault="004C6A2F" w:rsidP="004C6A2F">
      <w:pPr>
        <w:ind w:left="851" w:hanging="851"/>
      </w:pPr>
      <w:r w:rsidRPr="002E5ED1">
        <w:rPr>
          <w:b/>
          <w:bCs/>
        </w:rPr>
        <w:t>Action</w:t>
      </w:r>
      <w:r w:rsidRPr="004C6A2F">
        <w:rPr>
          <w:b/>
          <w:bCs/>
          <w:i/>
          <w:iCs/>
        </w:rPr>
        <w:t xml:space="preserve"> – </w:t>
      </w:r>
      <w:r w:rsidRPr="002E5ED1">
        <w:t>KF to report back on the standing of each site in respect of ownership &amp; potential land grabbing/intrusions</w:t>
      </w:r>
    </w:p>
    <w:p w14:paraId="578E5143" w14:textId="43E6207A" w:rsidR="00F574D8" w:rsidRDefault="00F574D8" w:rsidP="00693DD9">
      <w:r>
        <w:t>KF presented his considerations</w:t>
      </w:r>
      <w:r w:rsidR="00693DD9">
        <w:t>, s</w:t>
      </w:r>
      <w:r w:rsidR="003E04AB">
        <w:t xml:space="preserve">ome were less suitable </w:t>
      </w:r>
      <w:r w:rsidR="00776F42">
        <w:t>e.g.</w:t>
      </w:r>
      <w:r w:rsidR="003E04AB">
        <w:t xml:space="preserve"> the need to maintain sight lines at junctions of roads and property access drives</w:t>
      </w:r>
      <w:r w:rsidR="00776F42">
        <w:t>.</w:t>
      </w:r>
    </w:p>
    <w:p w14:paraId="2C751145" w14:textId="3E951DD3" w:rsidR="00776F42" w:rsidRDefault="00776F42" w:rsidP="00693DD9">
      <w:r>
        <w:lastRenderedPageBreak/>
        <w:t>The general distribution of dwellings throughout the parish fell mainly into 2 zones. Those along Mount End and Mount Road up to approximately the entrance to Colemans Farm and those along Epping Lane</w:t>
      </w:r>
      <w:r w:rsidR="00C36CD4">
        <w:t>.</w:t>
      </w:r>
    </w:p>
    <w:p w14:paraId="71070B45" w14:textId="067179B1" w:rsidR="00C36CD4" w:rsidRDefault="00C36CD4" w:rsidP="00693DD9">
      <w:r>
        <w:t>TMPC debated the potentially divisive nature of siting a single village sign in either zone given that the production and installation costs might place strain on the funds available.</w:t>
      </w:r>
      <w:r w:rsidR="00456417">
        <w:t xml:space="preserve"> Yet another consideration was whether, over time, the location(s) of the village signs could be developed into village amenities with the addition of bench seating and plants etc</w:t>
      </w:r>
      <w:r w:rsidR="006F27DD">
        <w:t>.</w:t>
      </w:r>
    </w:p>
    <w:p w14:paraId="6842BB75" w14:textId="38A2570F" w:rsidR="00D342EC" w:rsidRDefault="00D342EC" w:rsidP="00693DD9">
      <w:r>
        <w:t>TMPC determined that it would be appropriate to engage the community at the parish public meeting in April to ascertain views regarding the suitability of the proposal, the constraints and benefits pertinent to nominated locations and the bearable costs of the endeavour.</w:t>
      </w:r>
    </w:p>
    <w:p w14:paraId="73640409" w14:textId="485F6265" w:rsidR="00D342EC" w:rsidRPr="002E5ED1" w:rsidRDefault="004C6A2F" w:rsidP="00693DD9">
      <w:r w:rsidRPr="004C6A2F">
        <w:rPr>
          <w:b/>
          <w:bCs/>
          <w:i/>
          <w:iCs/>
        </w:rPr>
        <w:t xml:space="preserve">Action - </w:t>
      </w:r>
      <w:r w:rsidR="00D342EC" w:rsidRPr="002E5ED1">
        <w:t>HTB agreed to develop a presentation in time for the public meeting to stimulate the anticipated discussion</w:t>
      </w:r>
      <w:r w:rsidRPr="002E5ED1">
        <w:t xml:space="preserve"> and to put advance notice of that agenda item in the March Newsletter</w:t>
      </w:r>
      <w:r w:rsidR="00D342EC" w:rsidRPr="002E5ED1">
        <w:t>.</w:t>
      </w:r>
    </w:p>
    <w:p w14:paraId="2DDC45F5" w14:textId="2F12B90A" w:rsidR="00B73A20" w:rsidRDefault="00B73A20" w:rsidP="00693DD9">
      <w:r>
        <w:t xml:space="preserve">A product of the debate was that some locations considered appeared to exhibit a potential </w:t>
      </w:r>
      <w:r w:rsidR="008F5D7D">
        <w:t>reduction of the verge-side dimensions through what amounted to land grabbing initiatives by property owners.</w:t>
      </w:r>
    </w:p>
    <w:p w14:paraId="5B7DFB8C" w14:textId="364EC29C" w:rsidR="008F5D7D" w:rsidRPr="002E5ED1" w:rsidRDefault="004C6A2F" w:rsidP="00693DD9">
      <w:r w:rsidRPr="002E5ED1">
        <w:rPr>
          <w:b/>
          <w:bCs/>
        </w:rPr>
        <w:t>Action</w:t>
      </w:r>
      <w:r w:rsidRPr="002E5ED1">
        <w:t xml:space="preserve"> – RA </w:t>
      </w:r>
      <w:r w:rsidR="008F5D7D" w:rsidRPr="002E5ED1">
        <w:t xml:space="preserve">to submit examples to Essex Highways </w:t>
      </w:r>
      <w:proofErr w:type="gramStart"/>
      <w:r w:rsidR="008F5D7D" w:rsidRPr="002E5ED1">
        <w:t>in order to</w:t>
      </w:r>
      <w:proofErr w:type="gramEnd"/>
      <w:r w:rsidR="008F5D7D" w:rsidRPr="002E5ED1">
        <w:t xml:space="preserve"> ascertain whether a breach had occurred and to seek their advice regarding further action.</w:t>
      </w:r>
    </w:p>
    <w:p w14:paraId="0255E8C5" w14:textId="00F26A55" w:rsidR="008F5D7D" w:rsidRDefault="008F5D7D" w:rsidP="00693DD9">
      <w:r w:rsidRPr="004C7701">
        <w:rPr>
          <w:b/>
          <w:bCs/>
        </w:rPr>
        <w:t>Summer BBQ</w:t>
      </w:r>
      <w:r w:rsidR="004C7701">
        <w:rPr>
          <w:b/>
          <w:bCs/>
        </w:rPr>
        <w:t xml:space="preserve"> -</w:t>
      </w:r>
      <w:r>
        <w:t xml:space="preserve"> HTB raised awareness to the fact that VE Day would occur on May 5</w:t>
      </w:r>
      <w:r w:rsidRPr="008F5D7D">
        <w:rPr>
          <w:vertAlign w:val="superscript"/>
        </w:rPr>
        <w:t>th</w:t>
      </w:r>
      <w:r>
        <w:t xml:space="preserve"> and that the date could be an additional or alternative for a parish event. Time to prepare for and deliver an event for VE Day was extremely short. PC offered the perspective that whatever the event it might be appropriate to engage adjacent </w:t>
      </w:r>
      <w:proofErr w:type="gramStart"/>
      <w:r>
        <w:t>PC’s</w:t>
      </w:r>
      <w:proofErr w:type="gramEnd"/>
      <w:r w:rsidR="00840100">
        <w:t xml:space="preserve"> to scale up the result.</w:t>
      </w:r>
    </w:p>
    <w:p w14:paraId="68446DB3" w14:textId="44143D94" w:rsidR="00840100" w:rsidRPr="002E5ED1" w:rsidRDefault="004C6A2F" w:rsidP="00693DD9">
      <w:r w:rsidRPr="002E5ED1">
        <w:rPr>
          <w:b/>
          <w:bCs/>
        </w:rPr>
        <w:t>Action</w:t>
      </w:r>
      <w:r w:rsidRPr="004661D8">
        <w:rPr>
          <w:b/>
          <w:bCs/>
          <w:i/>
          <w:iCs/>
          <w:color w:val="4EA72E" w:themeColor="accent6"/>
        </w:rPr>
        <w:t xml:space="preserve"> - </w:t>
      </w:r>
      <w:r w:rsidR="00840100" w:rsidRPr="002E5ED1">
        <w:t xml:space="preserve">RA was asked to contact adjacent </w:t>
      </w:r>
      <w:proofErr w:type="gramStart"/>
      <w:r w:rsidR="00840100" w:rsidRPr="002E5ED1">
        <w:t>PC’s</w:t>
      </w:r>
      <w:proofErr w:type="gramEnd"/>
      <w:r w:rsidR="00840100" w:rsidRPr="002E5ED1">
        <w:t xml:space="preserve"> to garner what interest in a VE Day event might exist and to enquire of Ian at The Theydon Oak whether he could support a Hog Roast for the event</w:t>
      </w:r>
      <w:r w:rsidRPr="002E5ED1">
        <w:t xml:space="preserve"> and report back to TMPC.</w:t>
      </w:r>
    </w:p>
    <w:p w14:paraId="0279CA77" w14:textId="2B881CBB" w:rsidR="00DE7C63" w:rsidRDefault="004C7701" w:rsidP="00693DD9">
      <w:r w:rsidRPr="004C7701">
        <w:rPr>
          <w:b/>
          <w:bCs/>
        </w:rPr>
        <w:t>Traffic Calming Initiatives</w:t>
      </w:r>
      <w:r>
        <w:t xml:space="preserve"> – PC advised TMPC that our submission to the Local Highways Panel was expected to be reviewed at its next (March) meeting. TMPC determined no additional action necessary until the outcome was known.</w:t>
      </w:r>
    </w:p>
    <w:p w14:paraId="0D9BA5AB" w14:textId="41B2A290" w:rsidR="00DE7C63" w:rsidRDefault="004C7701" w:rsidP="00693DD9">
      <w:r w:rsidRPr="004C7701">
        <w:rPr>
          <w:b/>
          <w:bCs/>
        </w:rPr>
        <w:t>Additional Gateway Sign</w:t>
      </w:r>
      <w:r>
        <w:t xml:space="preserve"> – it was agreed that this would be sited on </w:t>
      </w:r>
      <w:proofErr w:type="gramStart"/>
      <w:r>
        <w:t>Epping lane</w:t>
      </w:r>
      <w:proofErr w:type="gramEnd"/>
      <w:r>
        <w:t xml:space="preserve"> where the current “No Litter” sign opposite the Barn was positioned.</w:t>
      </w:r>
    </w:p>
    <w:p w14:paraId="6805EEDD" w14:textId="4799E83C" w:rsidR="004C7701" w:rsidRDefault="004C7701" w:rsidP="00693DD9">
      <w:r>
        <w:t xml:space="preserve">HTB advised that representatives of TMPC should talk to the owner of The Barn </w:t>
      </w:r>
      <w:r w:rsidR="00E2736A">
        <w:t xml:space="preserve">(John Cheek) </w:t>
      </w:r>
      <w:r>
        <w:t>to ascertain likely reaction to the proposal. This was agreed.</w:t>
      </w:r>
    </w:p>
    <w:p w14:paraId="200C9222" w14:textId="1019C993" w:rsidR="00E2736A" w:rsidRPr="004661D8" w:rsidRDefault="004C6A2F" w:rsidP="00693DD9">
      <w:pPr>
        <w:rPr>
          <w:b/>
          <w:bCs/>
          <w:i/>
          <w:iCs/>
          <w:color w:val="FF0000"/>
        </w:rPr>
      </w:pPr>
      <w:r w:rsidRPr="002E5ED1">
        <w:rPr>
          <w:b/>
          <w:bCs/>
        </w:rPr>
        <w:t>Action</w:t>
      </w:r>
      <w:r w:rsidRPr="004661D8">
        <w:rPr>
          <w:b/>
          <w:bCs/>
          <w:i/>
          <w:iCs/>
          <w:color w:val="FF0000"/>
        </w:rPr>
        <w:t xml:space="preserve"> - </w:t>
      </w:r>
      <w:r w:rsidR="00E2736A" w:rsidRPr="002E5ED1">
        <w:t>RA agreed to get information from Affinity Water and Gigaclear in relation to under verge infrastructure.</w:t>
      </w:r>
    </w:p>
    <w:p w14:paraId="17C7FF9D" w14:textId="38391570" w:rsidR="00E2736A" w:rsidRDefault="00E2736A" w:rsidP="00693DD9">
      <w:r w:rsidRPr="00E2736A">
        <w:rPr>
          <w:b/>
          <w:bCs/>
        </w:rPr>
        <w:t>Village Noticeboard</w:t>
      </w:r>
      <w:r>
        <w:t xml:space="preserve"> – TMPC accepted that the current surface of the notice board needed to be softer/more amenable to drawing pins. RA and HTB agreed to jointly consider and implement a suitable solution.</w:t>
      </w:r>
    </w:p>
    <w:p w14:paraId="4CB9C0F1" w14:textId="7864B036" w:rsidR="00E2736A" w:rsidRDefault="00E2736A" w:rsidP="00693DD9">
      <w:r w:rsidRPr="00EC2465">
        <w:rPr>
          <w:b/>
          <w:bCs/>
        </w:rPr>
        <w:t>Finger Post</w:t>
      </w:r>
      <w:r>
        <w:t xml:space="preserve"> </w:t>
      </w:r>
      <w:r w:rsidR="008C6437">
        <w:t>–</w:t>
      </w:r>
      <w:r>
        <w:t xml:space="preserve"> </w:t>
      </w:r>
      <w:r w:rsidR="008C6437">
        <w:t>TMPC tasked RA to verify with the insurers that our policy covered the finger Post and to contact TGPC with a view to confirming that their insurance likewise covered Finger Posts under the “Garden Furniture” clause.</w:t>
      </w:r>
    </w:p>
    <w:p w14:paraId="41A524CC" w14:textId="13C58D13" w:rsidR="008C6437" w:rsidRDefault="00651AB3" w:rsidP="00693DD9">
      <w:r>
        <w:rPr>
          <w:b/>
          <w:bCs/>
        </w:rPr>
        <w:t>5.2</w:t>
      </w:r>
      <w:r>
        <w:rPr>
          <w:b/>
          <w:bCs/>
        </w:rPr>
        <w:tab/>
      </w:r>
      <w:r w:rsidR="008C6437" w:rsidRPr="00EC2465">
        <w:rPr>
          <w:b/>
          <w:bCs/>
        </w:rPr>
        <w:t>Devolution White Paper</w:t>
      </w:r>
      <w:r w:rsidR="008C6437">
        <w:t xml:space="preserve"> – TMPC accepted that the paper was extremely long and needed intense scrutiny.</w:t>
      </w:r>
    </w:p>
    <w:p w14:paraId="77F00495" w14:textId="24BAE7EE" w:rsidR="008C6437" w:rsidRDefault="008C6437" w:rsidP="00693DD9">
      <w:r>
        <w:t>RA</w:t>
      </w:r>
      <w:r w:rsidR="00EC2465">
        <w:t xml:space="preserve"> stated that NALC would be issuing a series of update reports on the full implications.</w:t>
      </w:r>
    </w:p>
    <w:p w14:paraId="56E644D5" w14:textId="10C2C548" w:rsidR="00EC2465" w:rsidRDefault="00EC2465" w:rsidP="00693DD9">
      <w:r>
        <w:t>PC advised TMPC that it was prudent at this stage to maintain a watching brief on developments.</w:t>
      </w:r>
    </w:p>
    <w:p w14:paraId="5D34BE8F" w14:textId="48F4D327" w:rsidR="00EC2465" w:rsidRPr="002E5ED1" w:rsidRDefault="00651AB3" w:rsidP="00693DD9">
      <w:r>
        <w:rPr>
          <w:b/>
          <w:bCs/>
        </w:rPr>
        <w:t>5.3</w:t>
      </w:r>
      <w:r>
        <w:rPr>
          <w:b/>
          <w:bCs/>
        </w:rPr>
        <w:tab/>
      </w:r>
      <w:r w:rsidR="00EC2465" w:rsidRPr="00EC2465">
        <w:rPr>
          <w:b/>
          <w:bCs/>
        </w:rPr>
        <w:t>Code of Conduct</w:t>
      </w:r>
      <w:r w:rsidR="00EC2465">
        <w:t xml:space="preserve"> – RA advised TMPC that there was a move afoot to ask </w:t>
      </w:r>
      <w:proofErr w:type="gramStart"/>
      <w:r w:rsidR="00EC2465">
        <w:t>PC’s</w:t>
      </w:r>
      <w:proofErr w:type="gramEnd"/>
      <w:r w:rsidR="00EC2465">
        <w:t xml:space="preserve"> to adopt the LGA Code of Conduct model. TMPC had been asked to submit its current Code of Conduct for compliance with the LGA model by 14</w:t>
      </w:r>
      <w:r w:rsidR="00EC2465" w:rsidRPr="00EC2465">
        <w:rPr>
          <w:vertAlign w:val="superscript"/>
        </w:rPr>
        <w:t>th</w:t>
      </w:r>
      <w:r w:rsidR="00EC2465">
        <w:t xml:space="preserve"> February. </w:t>
      </w:r>
      <w:r w:rsidR="004661D8" w:rsidRPr="002E5ED1">
        <w:rPr>
          <w:b/>
          <w:bCs/>
        </w:rPr>
        <w:t>Action</w:t>
      </w:r>
      <w:r w:rsidR="004661D8" w:rsidRPr="004661D8">
        <w:rPr>
          <w:b/>
          <w:bCs/>
          <w:i/>
          <w:iCs/>
          <w:color w:val="4EA72E" w:themeColor="accent6"/>
        </w:rPr>
        <w:t xml:space="preserve"> - </w:t>
      </w:r>
      <w:r w:rsidR="00EC2465" w:rsidRPr="002E5ED1">
        <w:t>RA agreed to submit and report back on any responses.</w:t>
      </w:r>
    </w:p>
    <w:p w14:paraId="5197E558" w14:textId="77777777" w:rsidR="00533F44" w:rsidRDefault="00651AB3" w:rsidP="00693DD9">
      <w:r>
        <w:rPr>
          <w:b/>
          <w:bCs/>
        </w:rPr>
        <w:lastRenderedPageBreak/>
        <w:t>5.4</w:t>
      </w:r>
      <w:r>
        <w:rPr>
          <w:b/>
          <w:bCs/>
        </w:rPr>
        <w:tab/>
      </w:r>
      <w:r w:rsidR="007F0915" w:rsidRPr="007F0915">
        <w:rPr>
          <w:b/>
          <w:bCs/>
        </w:rPr>
        <w:t>Litter Pick Dates</w:t>
      </w:r>
      <w:r w:rsidR="007F0915">
        <w:t xml:space="preserve"> – HB had suggested some dates for 3 x Litter Pick events as 6 April, 6 July &amp; 16 November. These were accepted by TMPC.</w:t>
      </w:r>
      <w:r w:rsidR="00533F44">
        <w:t xml:space="preserve"> </w:t>
      </w:r>
      <w:r w:rsidR="00533F44" w:rsidRPr="002E5ED1">
        <w:rPr>
          <w:b/>
          <w:bCs/>
        </w:rPr>
        <w:t>Action</w:t>
      </w:r>
      <w:r w:rsidR="00533F44" w:rsidRPr="00533F44">
        <w:rPr>
          <w:b/>
          <w:bCs/>
          <w:i/>
          <w:iCs/>
        </w:rPr>
        <w:t xml:space="preserve"> </w:t>
      </w:r>
      <w:r w:rsidR="00533F44" w:rsidRPr="002E5ED1">
        <w:t>HB</w:t>
      </w:r>
    </w:p>
    <w:p w14:paraId="254AB5BD" w14:textId="10D6C6AD" w:rsidR="007F0915" w:rsidRDefault="007F0915" w:rsidP="00693DD9">
      <w:r>
        <w:t xml:space="preserve"> PC added that during a litter pick conducted by himself and Annette they had come across some litter that contained a membership card issued to a person in January 2025. PC suggested that HB should be provided with this evidence so that she might pursue the matter with EFDC.</w:t>
      </w:r>
      <w:r w:rsidR="00533F44">
        <w:t xml:space="preserve"> </w:t>
      </w:r>
      <w:r w:rsidR="00533F44" w:rsidRPr="002E5ED1">
        <w:rPr>
          <w:b/>
          <w:bCs/>
        </w:rPr>
        <w:t xml:space="preserve">Action - </w:t>
      </w:r>
      <w:r w:rsidR="00533F44" w:rsidRPr="002E5ED1">
        <w:t>HB</w:t>
      </w:r>
    </w:p>
    <w:p w14:paraId="2DADA0CA" w14:textId="77777777" w:rsidR="00533F44" w:rsidRPr="00533F44" w:rsidRDefault="00651AB3" w:rsidP="00693DD9">
      <w:pPr>
        <w:rPr>
          <w:b/>
          <w:bCs/>
          <w:i/>
          <w:iCs/>
        </w:rPr>
      </w:pPr>
      <w:r>
        <w:rPr>
          <w:b/>
          <w:bCs/>
        </w:rPr>
        <w:t>5.5</w:t>
      </w:r>
      <w:r>
        <w:rPr>
          <w:b/>
          <w:bCs/>
        </w:rPr>
        <w:tab/>
      </w:r>
      <w:r w:rsidR="007F0915" w:rsidRPr="00D10BF6">
        <w:rPr>
          <w:b/>
          <w:bCs/>
        </w:rPr>
        <w:t>Newsletter Dates</w:t>
      </w:r>
      <w:r w:rsidR="007F0915">
        <w:t xml:space="preserve"> – HTB agreed to a Newsletter release for the end of March. </w:t>
      </w:r>
      <w:r w:rsidR="00533F44" w:rsidRPr="002E5ED1">
        <w:rPr>
          <w:b/>
          <w:bCs/>
        </w:rPr>
        <w:t xml:space="preserve">Action </w:t>
      </w:r>
      <w:r w:rsidR="00533F44" w:rsidRPr="002E5ED1">
        <w:t>HTB</w:t>
      </w:r>
    </w:p>
    <w:p w14:paraId="739F895D" w14:textId="19FA2D6E" w:rsidR="007F0915" w:rsidRDefault="007F0915" w:rsidP="00693DD9">
      <w:r>
        <w:t>Contents could include</w:t>
      </w:r>
      <w:r w:rsidR="00000EF0">
        <w:t xml:space="preserve"> an encouragement to all residents to conduct their own local litter picks. PC asked RA to ensure that invitations to the AGM were extended to </w:t>
      </w:r>
      <w:proofErr w:type="spellStart"/>
      <w:r w:rsidR="00000EF0">
        <w:t>Jaymey</w:t>
      </w:r>
      <w:proofErr w:type="spellEnd"/>
      <w:r w:rsidR="00000EF0">
        <w:t xml:space="preserve"> McIvor, The Community Police Officers and the Rural Engagement Officer and confirmations obtained so that details could be included in the March Newsletter.</w:t>
      </w:r>
    </w:p>
    <w:p w14:paraId="74FC339D" w14:textId="2FF602AD" w:rsidR="00651AB3" w:rsidRPr="00651AB3" w:rsidRDefault="00651AB3" w:rsidP="00693DD9">
      <w:pPr>
        <w:rPr>
          <w:b/>
          <w:bCs/>
        </w:rPr>
      </w:pPr>
      <w:r w:rsidRPr="00651AB3">
        <w:rPr>
          <w:b/>
          <w:bCs/>
        </w:rPr>
        <w:t>5.6</w:t>
      </w:r>
      <w:r w:rsidRPr="00651AB3">
        <w:rPr>
          <w:b/>
          <w:bCs/>
        </w:rPr>
        <w:tab/>
        <w:t>Governing Policies and Regulations:</w:t>
      </w:r>
    </w:p>
    <w:p w14:paraId="7F768648" w14:textId="77777777" w:rsidR="00651AB3" w:rsidRDefault="00D10BF6" w:rsidP="00693DD9">
      <w:r w:rsidRPr="00D10BF6">
        <w:rPr>
          <w:b/>
          <w:bCs/>
        </w:rPr>
        <w:t>Financial Regulations</w:t>
      </w:r>
      <w:r>
        <w:t xml:space="preserve"> – MH reported year end was end of March and that the Year End report had to be submitted by no later than the beginning of July.  AGAR forms depended on the completion of the End of year Report. </w:t>
      </w:r>
    </w:p>
    <w:p w14:paraId="1F5A1BD2" w14:textId="3C884798" w:rsidR="00826743" w:rsidRPr="00533F44" w:rsidRDefault="00651AB3" w:rsidP="00693DD9">
      <w:pPr>
        <w:rPr>
          <w:b/>
          <w:bCs/>
          <w:i/>
          <w:iCs/>
        </w:rPr>
      </w:pPr>
      <w:r w:rsidRPr="00651AB3">
        <w:rPr>
          <w:b/>
          <w:bCs/>
        </w:rPr>
        <w:t>Agar Return</w:t>
      </w:r>
      <w:r>
        <w:t xml:space="preserve"> - </w:t>
      </w:r>
      <w:r w:rsidR="00D10BF6">
        <w:t xml:space="preserve">MH added that he would seek the guidance of the former TMPC Financial Officer to complete the AGAR Forms. MH added that he could confirm that our previous external assessor </w:t>
      </w:r>
      <w:r w:rsidR="00533F44">
        <w:t xml:space="preserve">Howard Lee </w:t>
      </w:r>
      <w:r w:rsidR="00D10BF6">
        <w:t>was happy to do so again this year.</w:t>
      </w:r>
      <w:r w:rsidR="00533F44">
        <w:t xml:space="preserve"> </w:t>
      </w:r>
      <w:r w:rsidR="00533F44" w:rsidRPr="002E5ED1">
        <w:rPr>
          <w:b/>
          <w:bCs/>
        </w:rPr>
        <w:t>Action</w:t>
      </w:r>
      <w:r w:rsidR="00533F44" w:rsidRPr="00533F44">
        <w:rPr>
          <w:b/>
          <w:bCs/>
          <w:i/>
          <w:iCs/>
        </w:rPr>
        <w:t xml:space="preserve"> MH</w:t>
      </w:r>
    </w:p>
    <w:p w14:paraId="65BBD2C9" w14:textId="5DF9D6A0" w:rsidR="00D10BF6" w:rsidRDefault="00826743" w:rsidP="00693DD9">
      <w:r w:rsidRPr="00962DB2">
        <w:rPr>
          <w:b/>
          <w:bCs/>
        </w:rPr>
        <w:t>Standing Orders</w:t>
      </w:r>
      <w:r>
        <w:t xml:space="preserve"> – RA reported that the current TMPC Standing Orders were revised in </w:t>
      </w:r>
      <w:proofErr w:type="gramStart"/>
      <w:r>
        <w:t>2020</w:t>
      </w:r>
      <w:proofErr w:type="gramEnd"/>
      <w:r>
        <w:t xml:space="preserve"> and the latest model of Standing Orders had been revised again in 2022. At a quick scan RA could see no significant variations necessary to TMPC Standing Orders. PC noted that TMPC would have to re-adopt those O</w:t>
      </w:r>
      <w:r w:rsidR="00A11961">
        <w:t>r</w:t>
      </w:r>
      <w:r>
        <w:t>ders at the April AGM.</w:t>
      </w:r>
    </w:p>
    <w:p w14:paraId="213681A5" w14:textId="2A7B8E7F" w:rsidR="00826743" w:rsidRDefault="00651AB3" w:rsidP="00693DD9">
      <w:r>
        <w:rPr>
          <w:b/>
          <w:bCs/>
        </w:rPr>
        <w:t>5.8</w:t>
      </w:r>
      <w:r>
        <w:rPr>
          <w:b/>
          <w:bCs/>
        </w:rPr>
        <w:tab/>
      </w:r>
      <w:r w:rsidR="00826743" w:rsidRPr="00826743">
        <w:rPr>
          <w:b/>
          <w:bCs/>
        </w:rPr>
        <w:t>Banking Arrangements</w:t>
      </w:r>
      <w:r w:rsidR="00826743">
        <w:t xml:space="preserve"> - MH confirmed that he now had signing authority, PIN number and Card to make payments/transactions somewhat more efficient but that he still had not secured Online Banking with Barclays. PC reported that he had still not received his Card Reader.</w:t>
      </w:r>
      <w:r w:rsidR="00533F44">
        <w:t xml:space="preserve"> </w:t>
      </w:r>
      <w:r w:rsidR="00533F44" w:rsidRPr="002E5ED1">
        <w:rPr>
          <w:b/>
          <w:bCs/>
        </w:rPr>
        <w:t>Action</w:t>
      </w:r>
      <w:r w:rsidR="00533F44" w:rsidRPr="00533F44">
        <w:rPr>
          <w:b/>
          <w:bCs/>
          <w:i/>
          <w:iCs/>
        </w:rPr>
        <w:t xml:space="preserve"> - MH</w:t>
      </w:r>
    </w:p>
    <w:p w14:paraId="01D3A961" w14:textId="235B4639" w:rsidR="00826743" w:rsidRDefault="005413C3" w:rsidP="00693DD9">
      <w:r>
        <w:rPr>
          <w:b/>
          <w:bCs/>
        </w:rPr>
        <w:t>5.9</w:t>
      </w:r>
      <w:r>
        <w:rPr>
          <w:b/>
          <w:bCs/>
        </w:rPr>
        <w:tab/>
      </w:r>
      <w:proofErr w:type="spellStart"/>
      <w:r w:rsidR="00826743" w:rsidRPr="00962DB2">
        <w:rPr>
          <w:b/>
          <w:bCs/>
        </w:rPr>
        <w:t>Nickerlands</w:t>
      </w:r>
      <w:proofErr w:type="spellEnd"/>
      <w:r w:rsidR="00826743" w:rsidRPr="00962DB2">
        <w:rPr>
          <w:b/>
          <w:bCs/>
        </w:rPr>
        <w:t xml:space="preserve"> Application</w:t>
      </w:r>
      <w:r w:rsidR="00826743">
        <w:t xml:space="preserve"> – PC suggested that HB should be tasked with keeping abreast of, and reporting, future develo</w:t>
      </w:r>
      <w:r w:rsidR="00962DB2">
        <w:t>p</w:t>
      </w:r>
      <w:r w:rsidR="00826743">
        <w:t>ments. TMPC approved the motion</w:t>
      </w:r>
      <w:r w:rsidR="00962DB2">
        <w:t>.</w:t>
      </w:r>
      <w:r w:rsidR="00533F44">
        <w:t xml:space="preserve"> </w:t>
      </w:r>
      <w:r w:rsidR="00533F44" w:rsidRPr="002E5ED1">
        <w:rPr>
          <w:b/>
          <w:bCs/>
        </w:rPr>
        <w:t>Action</w:t>
      </w:r>
      <w:r w:rsidR="00533F44" w:rsidRPr="00533F44">
        <w:rPr>
          <w:b/>
          <w:bCs/>
          <w:i/>
          <w:iCs/>
        </w:rPr>
        <w:t xml:space="preserve"> - HB</w:t>
      </w:r>
    </w:p>
    <w:p w14:paraId="4C074F44" w14:textId="42B3375B" w:rsidR="00D10BF6" w:rsidRPr="00533F44" w:rsidRDefault="005413C3" w:rsidP="00693DD9">
      <w:pPr>
        <w:rPr>
          <w:b/>
          <w:bCs/>
          <w:i/>
          <w:iCs/>
        </w:rPr>
      </w:pPr>
      <w:r>
        <w:rPr>
          <w:b/>
          <w:bCs/>
        </w:rPr>
        <w:t>5.10</w:t>
      </w:r>
      <w:r>
        <w:rPr>
          <w:b/>
          <w:bCs/>
        </w:rPr>
        <w:tab/>
      </w:r>
      <w:r w:rsidR="00962DB2" w:rsidRPr="00962DB2">
        <w:rPr>
          <w:b/>
          <w:bCs/>
        </w:rPr>
        <w:t>Essex Minerals Plan</w:t>
      </w:r>
      <w:r w:rsidR="00962DB2">
        <w:t xml:space="preserve"> – PC nominated KF to maintain a watching brief on this issue and report developments. TMPC approved the motion.</w:t>
      </w:r>
      <w:r w:rsidR="00533F44">
        <w:t xml:space="preserve"> </w:t>
      </w:r>
      <w:r w:rsidR="00533F44" w:rsidRPr="002E5ED1">
        <w:rPr>
          <w:b/>
          <w:bCs/>
        </w:rPr>
        <w:t>Action</w:t>
      </w:r>
      <w:r w:rsidR="00533F44" w:rsidRPr="00533F44">
        <w:rPr>
          <w:b/>
          <w:bCs/>
          <w:i/>
          <w:iCs/>
        </w:rPr>
        <w:t xml:space="preserve"> - KF</w:t>
      </w:r>
    </w:p>
    <w:p w14:paraId="026E914F" w14:textId="11745611" w:rsidR="00DE7C63" w:rsidRPr="004C6A2F" w:rsidRDefault="007F0915" w:rsidP="00693DD9">
      <w:pPr>
        <w:rPr>
          <w:b/>
          <w:bCs/>
          <w:i/>
          <w:iCs/>
        </w:rPr>
      </w:pPr>
      <w:r>
        <w:t xml:space="preserve"> </w:t>
      </w:r>
      <w:r w:rsidR="005413C3" w:rsidRPr="005413C3">
        <w:rPr>
          <w:b/>
          <w:bCs/>
        </w:rPr>
        <w:t>5.11</w:t>
      </w:r>
      <w:r w:rsidR="005413C3">
        <w:tab/>
      </w:r>
      <w:r w:rsidR="00DE7C63" w:rsidRPr="00D9313B">
        <w:rPr>
          <w:b/>
          <w:bCs/>
        </w:rPr>
        <w:t>Planning</w:t>
      </w:r>
      <w:r w:rsidR="00DE7C63">
        <w:t xml:space="preserve">: PC advised TMPC that he had asked KF to undertake a more formal appreciation and analysis of weekly Planning Notices. </w:t>
      </w:r>
      <w:r w:rsidR="004C6A2F" w:rsidRPr="002E5ED1">
        <w:rPr>
          <w:b/>
          <w:bCs/>
        </w:rPr>
        <w:t>Action</w:t>
      </w:r>
      <w:r w:rsidR="004C6A2F" w:rsidRPr="004C6A2F">
        <w:rPr>
          <w:b/>
          <w:bCs/>
          <w:i/>
          <w:iCs/>
        </w:rPr>
        <w:t xml:space="preserve"> - KF</w:t>
      </w:r>
    </w:p>
    <w:p w14:paraId="7A7ACCED" w14:textId="62A580C0" w:rsidR="00DE7C63" w:rsidRDefault="00DE7C63" w:rsidP="00693DD9">
      <w:r>
        <w:t>PC quickly ran through the other planning items on the agenda and TMPC determined that no action was necessary in respect of any of them</w:t>
      </w:r>
      <w:r w:rsidR="00962DB2">
        <w:t>.</w:t>
      </w:r>
    </w:p>
    <w:p w14:paraId="4E8F2483" w14:textId="2F3B6C15" w:rsidR="00962DB2" w:rsidRDefault="00962DB2" w:rsidP="00693DD9">
      <w:r>
        <w:t xml:space="preserve">RA reminded TMPC that the original Plans for the Barkers Farm Summer House detailed a staircase/well that had the potential to encourage a </w:t>
      </w:r>
      <w:proofErr w:type="gramStart"/>
      <w:r>
        <w:t>second floor</w:t>
      </w:r>
      <w:proofErr w:type="gramEnd"/>
      <w:r>
        <w:t xml:space="preserve"> development. TMPC agreed that residents in the immediate locale should </w:t>
      </w:r>
      <w:r w:rsidR="004C6A2F">
        <w:t>be encouraged</w:t>
      </w:r>
      <w:r w:rsidR="00533F44">
        <w:t xml:space="preserve"> to </w:t>
      </w:r>
      <w:r>
        <w:t>keep a wary eye out for an</w:t>
      </w:r>
      <w:r w:rsidR="00533F44">
        <w:t>y</w:t>
      </w:r>
      <w:r>
        <w:t xml:space="preserve"> </w:t>
      </w:r>
      <w:proofErr w:type="gramStart"/>
      <w:r>
        <w:t>second floor</w:t>
      </w:r>
      <w:proofErr w:type="gramEnd"/>
      <w:r>
        <w:t xml:space="preserve"> construction to the Summer House.</w:t>
      </w:r>
    </w:p>
    <w:p w14:paraId="0CEA6A14" w14:textId="491D61EA" w:rsidR="00962DB2" w:rsidRDefault="005413C3" w:rsidP="00693DD9">
      <w:r>
        <w:rPr>
          <w:b/>
          <w:bCs/>
        </w:rPr>
        <w:t>5.12</w:t>
      </w:r>
      <w:r>
        <w:rPr>
          <w:b/>
          <w:bCs/>
        </w:rPr>
        <w:tab/>
      </w:r>
      <w:r w:rsidR="00962DB2" w:rsidRPr="005413C3">
        <w:rPr>
          <w:b/>
          <w:bCs/>
        </w:rPr>
        <w:t>Review of TMPC Thankyou Event</w:t>
      </w:r>
      <w:r w:rsidR="00962DB2">
        <w:t xml:space="preserve"> – MH reported positive feedback from the attendees. RA held the opinion that he had ordered too much food</w:t>
      </w:r>
    </w:p>
    <w:p w14:paraId="45A0C0F0" w14:textId="10AE2FAC" w:rsidR="00D9313B" w:rsidRDefault="005413C3" w:rsidP="00693DD9">
      <w:r>
        <w:rPr>
          <w:b/>
          <w:bCs/>
        </w:rPr>
        <w:t>6</w:t>
      </w:r>
      <w:r>
        <w:rPr>
          <w:b/>
          <w:bCs/>
        </w:rPr>
        <w:tab/>
      </w:r>
      <w:r w:rsidR="00962DB2" w:rsidRPr="00D9313B">
        <w:rPr>
          <w:b/>
          <w:bCs/>
        </w:rPr>
        <w:t xml:space="preserve">TMPC Annual </w:t>
      </w:r>
      <w:r>
        <w:rPr>
          <w:b/>
          <w:bCs/>
        </w:rPr>
        <w:t xml:space="preserve">OGM </w:t>
      </w:r>
      <w:r w:rsidR="00962DB2" w:rsidRPr="00D9313B">
        <w:rPr>
          <w:b/>
          <w:bCs/>
        </w:rPr>
        <w:t>Schedule</w:t>
      </w:r>
      <w:r w:rsidR="00962DB2">
        <w:t xml:space="preserve"> -</w:t>
      </w:r>
      <w:r w:rsidR="00D9313B">
        <w:t xml:space="preserve"> PC advised TMPC that he and RA had developed a rough schedule to shape OGM agendas based on HTB previous suggestion that TMPC should engage in long term planning and project management and sough TMPC views about the framework included in the agenda.</w:t>
      </w:r>
    </w:p>
    <w:p w14:paraId="07CFB7B3" w14:textId="4A81D956" w:rsidR="00962DB2" w:rsidRDefault="00D9313B" w:rsidP="00693DD9">
      <w:r>
        <w:t xml:space="preserve">MH suggested moving the precept discussion from December to October which was the </w:t>
      </w:r>
      <w:proofErr w:type="spellStart"/>
      <w:r>
        <w:t>mid point</w:t>
      </w:r>
      <w:proofErr w:type="spellEnd"/>
      <w:r>
        <w:t xml:space="preserve"> between to Clerk stipend payments and any adjustment needed to be reflected in the precept build.</w:t>
      </w:r>
    </w:p>
    <w:p w14:paraId="1EF3566A" w14:textId="561E33EE" w:rsidR="00D9313B" w:rsidRDefault="00533F44" w:rsidP="00693DD9">
      <w:r>
        <w:lastRenderedPageBreak/>
        <w:t>H</w:t>
      </w:r>
      <w:r w:rsidR="00D9313B">
        <w:t>TB suggested that TMPC should develop a maintenance plan for parish assets and features that might require working parties to complete. Amongst these were:</w:t>
      </w:r>
    </w:p>
    <w:p w14:paraId="546F8168" w14:textId="1C28820F" w:rsidR="00D9313B" w:rsidRDefault="00D9313B" w:rsidP="00D9313B">
      <w:pPr>
        <w:pStyle w:val="ListParagraph"/>
        <w:numPr>
          <w:ilvl w:val="0"/>
          <w:numId w:val="2"/>
        </w:numPr>
      </w:pPr>
      <w:r>
        <w:t>Gateway Signs verge cutting, cleaning and hedgerow clearance and cleaning</w:t>
      </w:r>
    </w:p>
    <w:p w14:paraId="12B666D9" w14:textId="59124367" w:rsidR="00D9313B" w:rsidRDefault="00D9313B" w:rsidP="00D9313B">
      <w:pPr>
        <w:pStyle w:val="ListParagraph"/>
        <w:numPr>
          <w:ilvl w:val="0"/>
          <w:numId w:val="2"/>
        </w:numPr>
      </w:pPr>
      <w:r>
        <w:t>Other signs - washing and general maintenance</w:t>
      </w:r>
    </w:p>
    <w:p w14:paraId="5BF1A015" w14:textId="1C3720AF" w:rsidR="00A11961" w:rsidRDefault="00A11961" w:rsidP="00A11961">
      <w:r>
        <w:t>MH suggested that this could be accomplished by nominated residents undertaking these tasks during Litter Pick events.</w:t>
      </w:r>
    </w:p>
    <w:p w14:paraId="7BA4A23C" w14:textId="5126A4C7" w:rsidR="00A11961" w:rsidRDefault="005413C3" w:rsidP="00A11961">
      <w:r>
        <w:rPr>
          <w:b/>
          <w:bCs/>
        </w:rPr>
        <w:t>7.</w:t>
      </w:r>
      <w:r>
        <w:rPr>
          <w:b/>
          <w:bCs/>
        </w:rPr>
        <w:tab/>
      </w:r>
      <w:r w:rsidR="00A11961" w:rsidRPr="00A11961">
        <w:rPr>
          <w:b/>
          <w:bCs/>
        </w:rPr>
        <w:t>Clerks Report</w:t>
      </w:r>
      <w:r w:rsidR="00A11961">
        <w:t xml:space="preserve"> – RA notifies TMPC of the following:</w:t>
      </w:r>
    </w:p>
    <w:p w14:paraId="5C05E787" w14:textId="173A1215" w:rsidR="00A11961" w:rsidRDefault="00A11961" w:rsidP="00A11961">
      <w:pPr>
        <w:pStyle w:val="ListParagraph"/>
        <w:numPr>
          <w:ilvl w:val="0"/>
          <w:numId w:val="3"/>
        </w:numPr>
      </w:pPr>
      <w:r>
        <w:t>Past Audio files of TMPC meetings had been deleted and current recording files were only held until TMPC had ratified the resultant minutes.</w:t>
      </w:r>
    </w:p>
    <w:p w14:paraId="40B2CE7C" w14:textId="07A005A5" w:rsidR="00A11961" w:rsidRPr="002E5ED1" w:rsidRDefault="00A11961" w:rsidP="00A11961">
      <w:pPr>
        <w:pStyle w:val="ListParagraph"/>
        <w:numPr>
          <w:ilvl w:val="0"/>
          <w:numId w:val="3"/>
        </w:numPr>
        <w:rPr>
          <w:color w:val="FF0000"/>
        </w:rPr>
      </w:pPr>
      <w:r>
        <w:t xml:space="preserve">EALC Planning Course – RA reported that he had booked 3 x places on the March course for PC, MH and RA. HTB suggested that more councillors should attend. </w:t>
      </w:r>
      <w:r w:rsidR="004661D8" w:rsidRPr="002E5ED1">
        <w:rPr>
          <w:b/>
          <w:bCs/>
        </w:rPr>
        <w:t>Action</w:t>
      </w:r>
      <w:r w:rsidR="004661D8" w:rsidRPr="002E5ED1">
        <w:rPr>
          <w:b/>
          <w:bCs/>
          <w:color w:val="FF0000"/>
        </w:rPr>
        <w:t xml:space="preserve"> - </w:t>
      </w:r>
      <w:r w:rsidRPr="002E5ED1">
        <w:rPr>
          <w:color w:val="FF0000"/>
        </w:rPr>
        <w:t>RA agreed he would contact EALC and book a further 2 x places.</w:t>
      </w:r>
    </w:p>
    <w:p w14:paraId="060316B9" w14:textId="75AA261F" w:rsidR="00B37E49" w:rsidRDefault="00B37E49" w:rsidP="00A11961">
      <w:pPr>
        <w:pStyle w:val="ListParagraph"/>
        <w:numPr>
          <w:ilvl w:val="0"/>
          <w:numId w:val="3"/>
        </w:numPr>
      </w:pPr>
      <w:r>
        <w:t>RA reported that he had successfully returned the insurance claim for the telephone box to Aviva who had acknowledged the fact and annotated our policy accordingly.</w:t>
      </w:r>
    </w:p>
    <w:p w14:paraId="6A15C91D" w14:textId="7F37146C" w:rsidR="00B37E49" w:rsidRDefault="00B37E49" w:rsidP="00B37E49">
      <w:r w:rsidRPr="00B37E49">
        <w:rPr>
          <w:b/>
          <w:bCs/>
        </w:rPr>
        <w:t>Outstanding Issues</w:t>
      </w:r>
      <w:r>
        <w:t xml:space="preserve"> – MH advised TMPC that the telephone box door kit that we were holding should be sold via eBay. MH agreed that he would undertake the sale via eBay.</w:t>
      </w:r>
      <w:r w:rsidR="00533F44">
        <w:t xml:space="preserve"> </w:t>
      </w:r>
      <w:r w:rsidR="00533F44" w:rsidRPr="002E5ED1">
        <w:rPr>
          <w:b/>
          <w:bCs/>
        </w:rPr>
        <w:t>Action</w:t>
      </w:r>
      <w:r w:rsidR="00533F44" w:rsidRPr="00533F44">
        <w:rPr>
          <w:b/>
          <w:bCs/>
          <w:i/>
          <w:iCs/>
        </w:rPr>
        <w:t xml:space="preserve"> - MH</w:t>
      </w:r>
    </w:p>
    <w:p w14:paraId="05E019B5" w14:textId="77777777" w:rsidR="00541597" w:rsidRDefault="00541597" w:rsidP="00B37E49"/>
    <w:p w14:paraId="19CBFFA6" w14:textId="062E8925" w:rsidR="00541597" w:rsidRDefault="00541597" w:rsidP="00B37E49">
      <w:r>
        <w:rPr>
          <w:noProof/>
        </w:rPr>
        <w:drawing>
          <wp:inline distT="0" distB="0" distL="0" distR="0" wp14:anchorId="601272DD" wp14:editId="2501B8B9">
            <wp:extent cx="1590675" cy="304800"/>
            <wp:effectExtent l="0" t="0" r="9525" b="0"/>
            <wp:docPr id="1196563054" name="Picture 1" descr="A black rope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63054" name="Picture 1" descr="A black rope in the shape of a hear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0675" cy="304800"/>
                    </a:xfrm>
                    <a:prstGeom prst="rect">
                      <a:avLst/>
                    </a:prstGeom>
                  </pic:spPr>
                </pic:pic>
              </a:graphicData>
            </a:graphic>
          </wp:inline>
        </w:drawing>
      </w:r>
      <w:r>
        <w:t xml:space="preserve"> Peter Connel Chair of TMPC       Dated</w:t>
      </w:r>
      <w:r>
        <w:tab/>
        <w:t>2</w:t>
      </w:r>
      <w:r w:rsidR="00533F44">
        <w:t>6</w:t>
      </w:r>
      <w:r>
        <w:t>/2/2025</w:t>
      </w:r>
    </w:p>
    <w:p w14:paraId="54BB0606" w14:textId="77777777" w:rsidR="00A11961" w:rsidRDefault="00A11961" w:rsidP="00A11961"/>
    <w:p w14:paraId="548BCD3D" w14:textId="77777777" w:rsidR="00A11961" w:rsidRDefault="00A11961" w:rsidP="00A11961"/>
    <w:p w14:paraId="15B8F4A1" w14:textId="77777777" w:rsidR="00840100" w:rsidRDefault="00840100" w:rsidP="00693DD9"/>
    <w:sectPr w:rsidR="00840100" w:rsidSect="008768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671C"/>
    <w:multiLevelType w:val="hybridMultilevel"/>
    <w:tmpl w:val="CE52BF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12C2DA0"/>
    <w:multiLevelType w:val="hybridMultilevel"/>
    <w:tmpl w:val="ED0E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8F49EF"/>
    <w:multiLevelType w:val="hybridMultilevel"/>
    <w:tmpl w:val="B6545A04"/>
    <w:lvl w:ilvl="0" w:tplc="DDE08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D8251C"/>
    <w:multiLevelType w:val="hybridMultilevel"/>
    <w:tmpl w:val="9382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871586">
    <w:abstractNumId w:val="0"/>
  </w:num>
  <w:num w:numId="2" w16cid:durableId="640231074">
    <w:abstractNumId w:val="1"/>
  </w:num>
  <w:num w:numId="3" w16cid:durableId="302200941">
    <w:abstractNumId w:val="3"/>
  </w:num>
  <w:num w:numId="4" w16cid:durableId="1276139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93"/>
    <w:rsid w:val="00000EF0"/>
    <w:rsid w:val="000428C8"/>
    <w:rsid w:val="00197FFE"/>
    <w:rsid w:val="002C20F5"/>
    <w:rsid w:val="002E5ED1"/>
    <w:rsid w:val="002E5F7D"/>
    <w:rsid w:val="002F4C50"/>
    <w:rsid w:val="00325493"/>
    <w:rsid w:val="0035666E"/>
    <w:rsid w:val="003E04AB"/>
    <w:rsid w:val="00456417"/>
    <w:rsid w:val="004661D8"/>
    <w:rsid w:val="004C6A2F"/>
    <w:rsid w:val="004C7701"/>
    <w:rsid w:val="00533F44"/>
    <w:rsid w:val="005413C3"/>
    <w:rsid w:val="00541597"/>
    <w:rsid w:val="005F6725"/>
    <w:rsid w:val="006219D3"/>
    <w:rsid w:val="00651AB3"/>
    <w:rsid w:val="00675CB7"/>
    <w:rsid w:val="006839A1"/>
    <w:rsid w:val="00693DD9"/>
    <w:rsid w:val="006F27DD"/>
    <w:rsid w:val="00776F42"/>
    <w:rsid w:val="007F0915"/>
    <w:rsid w:val="007F71C6"/>
    <w:rsid w:val="00826743"/>
    <w:rsid w:val="008320DA"/>
    <w:rsid w:val="00840100"/>
    <w:rsid w:val="00876808"/>
    <w:rsid w:val="008C6437"/>
    <w:rsid w:val="008E6EDD"/>
    <w:rsid w:val="008F5D7D"/>
    <w:rsid w:val="009312BB"/>
    <w:rsid w:val="00962DB2"/>
    <w:rsid w:val="00A11961"/>
    <w:rsid w:val="00AA3224"/>
    <w:rsid w:val="00B02B96"/>
    <w:rsid w:val="00B37E49"/>
    <w:rsid w:val="00B73A20"/>
    <w:rsid w:val="00BE1DFF"/>
    <w:rsid w:val="00C36CD4"/>
    <w:rsid w:val="00C45405"/>
    <w:rsid w:val="00D10BF6"/>
    <w:rsid w:val="00D342EC"/>
    <w:rsid w:val="00D9313B"/>
    <w:rsid w:val="00D96DBE"/>
    <w:rsid w:val="00DE7C63"/>
    <w:rsid w:val="00E12DE3"/>
    <w:rsid w:val="00E2736A"/>
    <w:rsid w:val="00EC2465"/>
    <w:rsid w:val="00F574D8"/>
    <w:rsid w:val="00FC5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65F8"/>
  <w15:chartTrackingRefBased/>
  <w15:docId w15:val="{D4336653-9622-4E31-89A2-9BF8FD5F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493"/>
    <w:rPr>
      <w:rFonts w:eastAsiaTheme="majorEastAsia" w:cstheme="majorBidi"/>
      <w:color w:val="272727" w:themeColor="text1" w:themeTint="D8"/>
    </w:rPr>
  </w:style>
  <w:style w:type="paragraph" w:styleId="Title">
    <w:name w:val="Title"/>
    <w:basedOn w:val="Normal"/>
    <w:next w:val="Normal"/>
    <w:link w:val="TitleChar"/>
    <w:uiPriority w:val="10"/>
    <w:qFormat/>
    <w:rsid w:val="00325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493"/>
    <w:pPr>
      <w:spacing w:before="160"/>
      <w:jc w:val="center"/>
    </w:pPr>
    <w:rPr>
      <w:i/>
      <w:iCs/>
      <w:color w:val="404040" w:themeColor="text1" w:themeTint="BF"/>
    </w:rPr>
  </w:style>
  <w:style w:type="character" w:customStyle="1" w:styleId="QuoteChar">
    <w:name w:val="Quote Char"/>
    <w:basedOn w:val="DefaultParagraphFont"/>
    <w:link w:val="Quote"/>
    <w:uiPriority w:val="29"/>
    <w:rsid w:val="00325493"/>
    <w:rPr>
      <w:i/>
      <w:iCs/>
      <w:color w:val="404040" w:themeColor="text1" w:themeTint="BF"/>
    </w:rPr>
  </w:style>
  <w:style w:type="paragraph" w:styleId="ListParagraph">
    <w:name w:val="List Paragraph"/>
    <w:basedOn w:val="Normal"/>
    <w:uiPriority w:val="34"/>
    <w:qFormat/>
    <w:rsid w:val="00325493"/>
    <w:pPr>
      <w:ind w:left="720"/>
      <w:contextualSpacing/>
    </w:pPr>
  </w:style>
  <w:style w:type="character" w:styleId="IntenseEmphasis">
    <w:name w:val="Intense Emphasis"/>
    <w:basedOn w:val="DefaultParagraphFont"/>
    <w:uiPriority w:val="21"/>
    <w:qFormat/>
    <w:rsid w:val="00325493"/>
    <w:rPr>
      <w:i/>
      <w:iCs/>
      <w:color w:val="0F4761" w:themeColor="accent1" w:themeShade="BF"/>
    </w:rPr>
  </w:style>
  <w:style w:type="paragraph" w:styleId="IntenseQuote">
    <w:name w:val="Intense Quote"/>
    <w:basedOn w:val="Normal"/>
    <w:next w:val="Normal"/>
    <w:link w:val="IntenseQuoteChar"/>
    <w:uiPriority w:val="30"/>
    <w:qFormat/>
    <w:rsid w:val="00325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493"/>
    <w:rPr>
      <w:i/>
      <w:iCs/>
      <w:color w:val="0F4761" w:themeColor="accent1" w:themeShade="BF"/>
    </w:rPr>
  </w:style>
  <w:style w:type="character" w:styleId="IntenseReference">
    <w:name w:val="Intense Reference"/>
    <w:basedOn w:val="DefaultParagraphFont"/>
    <w:uiPriority w:val="32"/>
    <w:qFormat/>
    <w:rsid w:val="003254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Angood</dc:creator>
  <cp:keywords/>
  <dc:description/>
  <cp:lastModifiedBy>Rod Angood</cp:lastModifiedBy>
  <cp:revision>2</cp:revision>
  <cp:lastPrinted>2025-03-29T10:46:00Z</cp:lastPrinted>
  <dcterms:created xsi:type="dcterms:W3CDTF">2025-03-29T11:01:00Z</dcterms:created>
  <dcterms:modified xsi:type="dcterms:W3CDTF">2025-03-29T11:01:00Z</dcterms:modified>
</cp:coreProperties>
</file>