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68582B20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166512">
        <w:rPr>
          <w:rFonts w:ascii="Arial" w:hAnsi="Arial" w:cs="Arial"/>
          <w:sz w:val="20"/>
          <w:szCs w:val="20"/>
        </w:rPr>
        <w:t>21</w:t>
      </w:r>
      <w:r w:rsidR="00166512" w:rsidRPr="00166512">
        <w:rPr>
          <w:rFonts w:ascii="Arial" w:hAnsi="Arial" w:cs="Arial"/>
          <w:sz w:val="20"/>
          <w:szCs w:val="20"/>
          <w:vertAlign w:val="superscript"/>
        </w:rPr>
        <w:t>st</w:t>
      </w:r>
      <w:r w:rsidR="00166512">
        <w:rPr>
          <w:rFonts w:ascii="Arial" w:hAnsi="Arial" w:cs="Arial"/>
          <w:sz w:val="20"/>
          <w:szCs w:val="20"/>
        </w:rPr>
        <w:t xml:space="preserve"> September</w:t>
      </w:r>
      <w:r w:rsidR="00224640">
        <w:rPr>
          <w:rFonts w:ascii="Arial" w:hAnsi="Arial" w:cs="Arial"/>
          <w:sz w:val="20"/>
          <w:szCs w:val="20"/>
        </w:rPr>
        <w:t xml:space="preserve"> 2023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0CF8F00C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4F0E17CD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23794C9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788D2720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AE2129">
              <w:rPr>
                <w:rFonts w:ascii="Arial" w:hAnsi="Arial" w:cs="Arial"/>
                <w:sz w:val="20"/>
                <w:szCs w:val="20"/>
              </w:rPr>
              <w:t>13</w:t>
            </w:r>
            <w:r w:rsidR="00AE2129" w:rsidRPr="00AE212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2129">
              <w:rPr>
                <w:rFonts w:ascii="Arial" w:hAnsi="Arial" w:cs="Arial"/>
                <w:sz w:val="20"/>
                <w:szCs w:val="20"/>
              </w:rPr>
              <w:t xml:space="preserve"> July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601D1EFF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819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3EC7BAE4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E76B0F">
              <w:rPr>
                <w:rFonts w:ascii="Arial" w:hAnsi="Arial" w:cs="Arial"/>
                <w:sz w:val="20"/>
                <w:szCs w:val="20"/>
              </w:rPr>
              <w:t>July and August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Parish Council Meeting</w:t>
            </w:r>
            <w:r w:rsidR="00E76B0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5393AC3E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69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19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224640">
        <w:trPr>
          <w:trHeight w:val="3214"/>
        </w:trPr>
        <w:tc>
          <w:tcPr>
            <w:tcW w:w="828" w:type="dxa"/>
            <w:shd w:val="clear" w:color="auto" w:fill="auto"/>
          </w:tcPr>
          <w:p w14:paraId="19D4428C" w14:textId="1F77FBEF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D4611" w14:textId="3F5DD12D" w:rsidR="00502612" w:rsidRPr="00D81736" w:rsidRDefault="00131934" w:rsidP="00D817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received</w:t>
            </w:r>
          </w:p>
        </w:tc>
      </w:tr>
      <w:tr w:rsidR="00EE38E0" w:rsidRPr="003C6AD7" w14:paraId="005F4124" w14:textId="77777777" w:rsidTr="00FB096A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224640">
        <w:tc>
          <w:tcPr>
            <w:tcW w:w="828" w:type="dxa"/>
            <w:shd w:val="clear" w:color="auto" w:fill="auto"/>
          </w:tcPr>
          <w:p w14:paraId="528D2273" w14:textId="6CD49974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819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5377E24" w14:textId="77777777" w:rsidR="00FB096A" w:rsidRPr="00381614" w:rsidRDefault="00FB096A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276490" w14:textId="77777777" w:rsidR="00381614" w:rsidRPr="00381614" w:rsidRDefault="00381614" w:rsidP="0038161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UTT/23/1761/HHF Proposed single storey annexe ancillary to the main </w:t>
            </w:r>
            <w:proofErr w:type="gramStart"/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house</w:t>
            </w:r>
            <w:proofErr w:type="gramEnd"/>
          </w:p>
          <w:p w14:paraId="0A49BEDC" w14:textId="77777777" w:rsidR="00381614" w:rsidRP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Springwell Place Walden Road Little Chesterford Essex CB10 1UE</w:t>
            </w:r>
          </w:p>
          <w:p w14:paraId="4A2BA988" w14:textId="77777777" w:rsidR="00381614" w:rsidRP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Delegated Decision Approve with Conditions - 4th September 2023</w:t>
            </w:r>
          </w:p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6A6D7853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8198" w:type="dxa"/>
            <w:shd w:val="clear" w:color="auto" w:fill="auto"/>
          </w:tcPr>
          <w:p w14:paraId="1A6310D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Update on Planning Applications</w:t>
            </w:r>
          </w:p>
          <w:p w14:paraId="37B6572E" w14:textId="77777777" w:rsidR="00381614" w:rsidRP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912FEC" w14:textId="366461C9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UTT/23/2014/DOC Manor Lodge High Street Little Chesterford Essex CB10 1TS</w:t>
            </w:r>
          </w:p>
          <w:p w14:paraId="3CE868C5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Application to discharge condition 3 (materials), 4 (landscape), 5 (additional drawings), 6 (Great Crested Newt Method Statement), 7 (Biodiversity </w:t>
            </w: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enhancement strategy) and 8 (lighting design) attached to UTT/23/0865/HHF. Open for comment icon</w:t>
            </w:r>
          </w:p>
          <w:p w14:paraId="3B0826F5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Received: Mon 07 Aug 2023 | Validated: Mon 07 Aug 2023 | Status: Awaiting decision</w:t>
            </w:r>
          </w:p>
          <w:p w14:paraId="42CB533B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4CA31" w14:textId="77777777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UTT/23/1933/NMA Meadowcroft High Street Little Chesterford Saffron Walden Essex CB10 1TS</w:t>
            </w:r>
          </w:p>
          <w:p w14:paraId="230D5F6B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Non-material amendment to UTT/22/2618/FUL - Amendment to the wording of the description of development to include "and other associated works". - Minor fenestration alterations to the North Elevation. - Minor fenestration alterations to the East Elevation. - Minor fenestration alterations to the South Elevation. - Minor fenestration alterations to the West Elevation. - Inclusion of the approved bike shelter and bin store on the As Proposed Floor Plans and Elevations.</w:t>
            </w:r>
          </w:p>
          <w:p w14:paraId="53124664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Ref. No: | Received: Mon 24 Jul 2023 | Validated: Mon 24 Jul 2023 | Status: Awaiting decision.</w:t>
            </w:r>
          </w:p>
          <w:p w14:paraId="7F233ED8" w14:textId="77777777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UTT/23/1621/DOC Building 800 Chesterford Park Little Chesterford Saffron Walden Essex CB10 1XL.</w:t>
            </w:r>
          </w:p>
          <w:p w14:paraId="062EE07B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Application to discharge condition 7 (offsite flooding) attached to UTT/22/1248/FUL. Open for comment icon</w:t>
            </w:r>
          </w:p>
          <w:p w14:paraId="4F667379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Received: Mon 26 Jun 2023 | Validated: Mon 26 Jun 2023 | Status: Awaiting decision</w:t>
            </w:r>
          </w:p>
          <w:p w14:paraId="2868C9EA" w14:textId="77777777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UTT/23/0456/OP Chesterford Research Park Little Chesterford Essex CB10 1XL</w:t>
            </w:r>
          </w:p>
          <w:p w14:paraId="5716F17F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Hybrid planning application - Outline planning permission with all matters reserved except access for construction of a research and development building (Class E(g)), works to improve estate road, car parking, </w:t>
            </w:r>
            <w:proofErr w:type="gramStart"/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landscaping</w:t>
            </w:r>
            <w:proofErr w:type="gramEnd"/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and associated works on Plots 1400, 1500 and 1600, Plots 1700 and 1800, Plot 500 and Plot 1. Full planning application for construction of a research and development building (Class E(g)), works to improve estate road car parking, </w:t>
            </w:r>
            <w:proofErr w:type="gramStart"/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landscaping</w:t>
            </w:r>
            <w:proofErr w:type="gramEnd"/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and associated works on Plot 1100/1200 Open for comment.</w:t>
            </w:r>
          </w:p>
          <w:p w14:paraId="263B66A9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Received: Wed 22 Feb 2023 | Validated: Thu 23 Feb 2023 | Status: Awaiting decision</w:t>
            </w:r>
          </w:p>
          <w:p w14:paraId="4FDE2CD9" w14:textId="77777777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UTT/22/3192/SCO Chesterford Park Little Chesterford Essex</w:t>
            </w:r>
          </w:p>
          <w:p w14:paraId="196B574D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Request for screening opinion - for a hybrid planning application related to the remaining undeveloped plots within the adopted Masterplan area at Chesterford Research Park</w:t>
            </w:r>
          </w:p>
          <w:p w14:paraId="4600EFFA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Received: Wed 23 Nov 2022 | Validated: Wed 23 Nov 2022 | Status: Unknown</w:t>
            </w:r>
          </w:p>
          <w:p w14:paraId="2D031CD8" w14:textId="77777777" w:rsidR="003A155D" w:rsidRPr="00381614" w:rsidRDefault="003A155D" w:rsidP="003A155D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UTT/21/1485/SCO Chesterford Park Little Chesterford Essex</w:t>
            </w:r>
          </w:p>
          <w:p w14:paraId="6B7647D5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Screening Opinion for the development of a Solar Farm and associated infrastructure to provide energy for Research Park.</w:t>
            </w:r>
          </w:p>
          <w:p w14:paraId="33AEAD84" w14:textId="77777777" w:rsidR="003A155D" w:rsidRPr="00381614" w:rsidRDefault="003A155D" w:rsidP="003A155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381614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Received: Fri 30 Apr 2021 | Validated: Fri 30 Apr 2021 | Status: Unknown</w:t>
            </w:r>
          </w:p>
          <w:p w14:paraId="26EF4FC9" w14:textId="72F42F85" w:rsidR="00A41A15" w:rsidRPr="00381614" w:rsidRDefault="00A41A15" w:rsidP="003A155D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69A09C1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CF996" w14:textId="77777777" w:rsidR="00FB096A" w:rsidRPr="00381614" w:rsidRDefault="00FB096A" w:rsidP="00FB096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Approval of cheque payments</w:t>
            </w:r>
          </w:p>
          <w:p w14:paraId="04336A0D" w14:textId="744D7CE7" w:rsidR="00D81736" w:rsidRPr="00381614" w:rsidRDefault="00381614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£500 Parish Clerk</w:t>
            </w:r>
          </w:p>
          <w:p w14:paraId="0BFB7EC0" w14:textId="236C54AE" w:rsidR="00FB096A" w:rsidRPr="00381614" w:rsidRDefault="00FB096A" w:rsidP="00A0659F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4A3A3A21" w14:textId="40384CC8" w:rsidR="00FB096A" w:rsidRPr="00381614" w:rsidRDefault="00FB096A" w:rsidP="00FB096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receive updated financial statement</w:t>
            </w:r>
            <w:r w:rsidR="00355F56" w:rsidRPr="00381614">
              <w:rPr>
                <w:rFonts w:ascii="Arial" w:hAnsi="Arial" w:cs="Arial"/>
                <w:sz w:val="20"/>
                <w:szCs w:val="20"/>
              </w:rPr>
              <w:t xml:space="preserve"> (AGAR)</w:t>
            </w:r>
          </w:p>
          <w:p w14:paraId="6EEE404F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16B76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91CF1" w14:textId="77777777" w:rsidR="003B0BF2" w:rsidRPr="00381614" w:rsidRDefault="003B0BF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7ECF0032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76B0F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  <w:p w14:paraId="540876A9" w14:textId="77777777" w:rsidR="00FB096A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5B9CC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FFAC2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891A1" w14:textId="77777777" w:rsidR="00E944C8" w:rsidRDefault="00E944C8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741A0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6D073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784B5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D70AA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0E81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9DF82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A5D34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06977" w14:textId="77777777" w:rsidR="00381614" w:rsidRDefault="003816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7C0FFBFD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3A155D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lastRenderedPageBreak/>
              <w:t>Additional Matters</w:t>
            </w:r>
          </w:p>
          <w:p w14:paraId="662E53EE" w14:textId="77777777" w:rsidR="00D83757" w:rsidRPr="00381614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B7338" w14:textId="7AAE13FB" w:rsidR="00502612" w:rsidRPr="00381614" w:rsidRDefault="007D36A2" w:rsidP="00502612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Signing of Cllr forms and </w:t>
            </w:r>
            <w:r w:rsidR="00381614" w:rsidRPr="00381614">
              <w:rPr>
                <w:rFonts w:ascii="Arial" w:hAnsi="Arial" w:cs="Arial"/>
                <w:bCs/>
                <w:sz w:val="20"/>
                <w:szCs w:val="20"/>
              </w:rPr>
              <w:t>LGA Model Code returns</w:t>
            </w:r>
          </w:p>
          <w:p w14:paraId="48455116" w14:textId="0EC353FC" w:rsidR="00223DF2" w:rsidRPr="00381614" w:rsidRDefault="00381614" w:rsidP="008B7751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614">
              <w:rPr>
                <w:rFonts w:ascii="Arial" w:eastAsia="Times New Roman" w:hAnsi="Arial" w:cs="Arial"/>
                <w:sz w:val="20"/>
                <w:szCs w:val="20"/>
              </w:rPr>
              <w:t xml:space="preserve">Feedback from the letter drop concerning proposed </w:t>
            </w:r>
            <w:r w:rsidR="007D36A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proofErr w:type="gramStart"/>
            <w:r w:rsidR="007D36A2">
              <w:rPr>
                <w:rFonts w:ascii="Arial" w:eastAsia="Times New Roman" w:hAnsi="Arial" w:cs="Arial"/>
                <w:sz w:val="20"/>
                <w:szCs w:val="20"/>
              </w:rPr>
              <w:t>mph.</w:t>
            </w:r>
            <w:r w:rsidRPr="003816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 w:rsidRPr="003816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BA8258B" w14:textId="77777777" w:rsidR="00381614" w:rsidRPr="00381614" w:rsidRDefault="00381614" w:rsidP="00381614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lastRenderedPageBreak/>
              <w:t>Land to the east of London road - planning committee decision and location of playground</w:t>
            </w:r>
          </w:p>
          <w:p w14:paraId="5CB53417" w14:textId="4CCE71C3" w:rsidR="00381614" w:rsidRPr="00381614" w:rsidRDefault="00381614" w:rsidP="00381614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Chesterford research park</w:t>
            </w:r>
          </w:p>
          <w:p w14:paraId="5D6DBE62" w14:textId="650074BE" w:rsidR="00381614" w:rsidRPr="00381614" w:rsidRDefault="00381614" w:rsidP="00381614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Land opposite rectory barns</w:t>
            </w:r>
          </w:p>
          <w:p w14:paraId="41E6821F" w14:textId="1CD05411" w:rsidR="00381614" w:rsidRDefault="00381614" w:rsidP="00381614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Appeal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sz w:val="20"/>
                <w:szCs w:val="20"/>
              </w:rPr>
              <w:t xml:space="preserve">consider response to planning inspector for UTT/22/3321/OP Land Rear of </w:t>
            </w:r>
            <w:proofErr w:type="spellStart"/>
            <w:r w:rsidRPr="00381614">
              <w:rPr>
                <w:rFonts w:ascii="Arial" w:hAnsi="Arial" w:cs="Arial"/>
                <w:sz w:val="20"/>
                <w:szCs w:val="20"/>
              </w:rPr>
              <w:t>Woodene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C6D17C" w14:textId="48E0C89E" w:rsidR="00381614" w:rsidRDefault="00381614" w:rsidP="00381614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on </w:t>
            </w:r>
            <w:r w:rsidRPr="00381614">
              <w:rPr>
                <w:rFonts w:ascii="Arial" w:hAnsi="Arial" w:cs="Arial" w:hint="eastAsia"/>
                <w:sz w:val="20"/>
                <w:szCs w:val="20"/>
              </w:rPr>
              <w:t>Parish Boundary changes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3691E" w14:textId="77777777" w:rsidR="00D83757" w:rsidRPr="00381614" w:rsidRDefault="00D83757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FCA57" w14:textId="67CA87EA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Meeting 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3A155D" w:rsidRPr="00381614">
              <w:rPr>
                <w:rFonts w:ascii="Arial" w:hAnsi="Arial" w:cs="Arial"/>
                <w:bCs/>
                <w:sz w:val="20"/>
                <w:szCs w:val="20"/>
              </w:rPr>
              <w:t>November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57C1" w:rsidRPr="0038161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2023</w:t>
            </w:r>
            <w:proofErr w:type="gramEnd"/>
          </w:p>
          <w:p w14:paraId="21872B4B" w14:textId="77777777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81614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1E7" w14:textId="77777777" w:rsidR="001D3073" w:rsidRDefault="001D3073" w:rsidP="000726AC">
      <w:pPr>
        <w:rPr>
          <w:rFonts w:hint="eastAsia"/>
        </w:rPr>
      </w:pPr>
      <w:r>
        <w:separator/>
      </w:r>
    </w:p>
  </w:endnote>
  <w:endnote w:type="continuationSeparator" w:id="0">
    <w:p w14:paraId="400BC479" w14:textId="77777777" w:rsidR="001D3073" w:rsidRDefault="001D3073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E88F" w14:textId="77777777" w:rsidR="001D3073" w:rsidRDefault="001D3073" w:rsidP="000726AC">
      <w:pPr>
        <w:rPr>
          <w:rFonts w:hint="eastAsia"/>
        </w:rPr>
      </w:pPr>
      <w:r>
        <w:separator/>
      </w:r>
    </w:p>
  </w:footnote>
  <w:footnote w:type="continuationSeparator" w:id="0">
    <w:p w14:paraId="2592C6C0" w14:textId="77777777" w:rsidR="001D3073" w:rsidRDefault="001D3073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4"/>
  </w:num>
  <w:num w:numId="3" w16cid:durableId="530457630">
    <w:abstractNumId w:val="10"/>
  </w:num>
  <w:num w:numId="4" w16cid:durableId="450055100">
    <w:abstractNumId w:val="21"/>
  </w:num>
  <w:num w:numId="5" w16cid:durableId="1564831715">
    <w:abstractNumId w:val="20"/>
  </w:num>
  <w:num w:numId="6" w16cid:durableId="769279121">
    <w:abstractNumId w:val="14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2"/>
  </w:num>
  <w:num w:numId="10" w16cid:durableId="1312366350">
    <w:abstractNumId w:val="23"/>
  </w:num>
  <w:num w:numId="11" w16cid:durableId="966930761">
    <w:abstractNumId w:val="27"/>
  </w:num>
  <w:num w:numId="12" w16cid:durableId="534923550">
    <w:abstractNumId w:val="0"/>
  </w:num>
  <w:num w:numId="13" w16cid:durableId="9840007">
    <w:abstractNumId w:val="19"/>
  </w:num>
  <w:num w:numId="14" w16cid:durableId="1004434911">
    <w:abstractNumId w:val="18"/>
  </w:num>
  <w:num w:numId="15" w16cid:durableId="2128699204">
    <w:abstractNumId w:val="26"/>
  </w:num>
  <w:num w:numId="16" w16cid:durableId="454176204">
    <w:abstractNumId w:val="15"/>
  </w:num>
  <w:num w:numId="17" w16cid:durableId="741682656">
    <w:abstractNumId w:val="8"/>
  </w:num>
  <w:num w:numId="18" w16cid:durableId="715081483">
    <w:abstractNumId w:val="13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5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6"/>
  </w:num>
  <w:num w:numId="28" w16cid:durableId="782554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D64DC"/>
    <w:rsid w:val="000E6CDD"/>
    <w:rsid w:val="00131934"/>
    <w:rsid w:val="00144BBA"/>
    <w:rsid w:val="0015279F"/>
    <w:rsid w:val="001550A8"/>
    <w:rsid w:val="00166512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55F56"/>
    <w:rsid w:val="003718FB"/>
    <w:rsid w:val="003803DF"/>
    <w:rsid w:val="00381614"/>
    <w:rsid w:val="00381680"/>
    <w:rsid w:val="003A155D"/>
    <w:rsid w:val="003A28F1"/>
    <w:rsid w:val="003B0BF2"/>
    <w:rsid w:val="003B360A"/>
    <w:rsid w:val="003B7C90"/>
    <w:rsid w:val="003C7463"/>
    <w:rsid w:val="003D1052"/>
    <w:rsid w:val="003D193B"/>
    <w:rsid w:val="003E5822"/>
    <w:rsid w:val="004049F3"/>
    <w:rsid w:val="00422674"/>
    <w:rsid w:val="0043458D"/>
    <w:rsid w:val="00440181"/>
    <w:rsid w:val="00454363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76612"/>
    <w:rsid w:val="00592E68"/>
    <w:rsid w:val="005A2445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A7F94"/>
    <w:rsid w:val="007B1598"/>
    <w:rsid w:val="007B2986"/>
    <w:rsid w:val="007D36A2"/>
    <w:rsid w:val="007F05FB"/>
    <w:rsid w:val="007F55AC"/>
    <w:rsid w:val="007F667C"/>
    <w:rsid w:val="00816978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2AAF"/>
    <w:rsid w:val="009B6AFF"/>
    <w:rsid w:val="009C1529"/>
    <w:rsid w:val="009C3B49"/>
    <w:rsid w:val="009D57C1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B01C0F"/>
    <w:rsid w:val="00B04493"/>
    <w:rsid w:val="00B07AE7"/>
    <w:rsid w:val="00B10FFF"/>
    <w:rsid w:val="00B2015E"/>
    <w:rsid w:val="00B3609E"/>
    <w:rsid w:val="00B61918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76B0F"/>
    <w:rsid w:val="00E944C8"/>
    <w:rsid w:val="00EA6FC6"/>
    <w:rsid w:val="00EB5222"/>
    <w:rsid w:val="00EB555D"/>
    <w:rsid w:val="00EB744F"/>
    <w:rsid w:val="00EE38E0"/>
    <w:rsid w:val="00F004A0"/>
    <w:rsid w:val="00F2094E"/>
    <w:rsid w:val="00F37E02"/>
    <w:rsid w:val="00F451A8"/>
    <w:rsid w:val="00F5188F"/>
    <w:rsid w:val="00F722C1"/>
    <w:rsid w:val="00F82D78"/>
    <w:rsid w:val="00F8389A"/>
    <w:rsid w:val="00FB096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6</cp:revision>
  <cp:lastPrinted>2023-03-03T18:24:00Z</cp:lastPrinted>
  <dcterms:created xsi:type="dcterms:W3CDTF">2023-09-10T15:32:00Z</dcterms:created>
  <dcterms:modified xsi:type="dcterms:W3CDTF">2023-09-16T19:40:00Z</dcterms:modified>
</cp:coreProperties>
</file>