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BE" w:rsidRDefault="00A467BE" w:rsidP="006A55F4">
      <w:pPr>
        <w:ind w:left="-425" w:right="-329"/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:rsidR="0023382C" w:rsidRPr="006A55F4" w:rsidRDefault="0023382C" w:rsidP="006A55F4">
      <w:pPr>
        <w:ind w:left="-425" w:right="-329"/>
        <w:rPr>
          <w:rFonts w:ascii="Calibri" w:hAnsi="Calibri"/>
          <w:b/>
          <w:sz w:val="32"/>
          <w:szCs w:val="32"/>
        </w:rPr>
      </w:pPr>
      <w:r w:rsidRPr="006A55F4">
        <w:rPr>
          <w:rFonts w:ascii="Calibri" w:hAnsi="Calibri"/>
          <w:b/>
          <w:sz w:val="32"/>
          <w:szCs w:val="32"/>
        </w:rPr>
        <w:t>Facts &amp; figures</w:t>
      </w:r>
    </w:p>
    <w:p w:rsidR="006A55F4" w:rsidRPr="006A55F4" w:rsidRDefault="006A55F4" w:rsidP="006A55F4">
      <w:pPr>
        <w:ind w:left="-425" w:right="-329"/>
        <w:rPr>
          <w:rFonts w:asciiTheme="minorHAnsi" w:hAnsiTheme="minorHAnsi"/>
          <w:sz w:val="14"/>
          <w:szCs w:val="14"/>
        </w:rPr>
      </w:pPr>
      <w:r w:rsidRPr="006A55F4">
        <w:rPr>
          <w:rFonts w:asciiTheme="minorHAnsi" w:hAnsiTheme="minorHAnsi"/>
          <w:sz w:val="14"/>
          <w:szCs w:val="14"/>
        </w:rPr>
        <w:t> </w:t>
      </w:r>
    </w:p>
    <w:p w:rsidR="0023382C" w:rsidRDefault="006A55F4" w:rsidP="006A55F4">
      <w:pPr>
        <w:ind w:left="-425" w:right="-329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Research in 2010 showed:</w:t>
      </w:r>
      <w:r w:rsidR="0023382C" w:rsidRPr="0023382C">
        <w:rPr>
          <w:rFonts w:asciiTheme="minorHAnsi" w:hAnsiTheme="minorHAnsi"/>
          <w:bCs/>
          <w:sz w:val="22"/>
          <w:szCs w:val="22"/>
        </w:rPr>
        <w:t xml:space="preserve"> </w:t>
      </w:r>
      <w:proofErr w:type="gramStart"/>
      <w:r w:rsidR="0023382C" w:rsidRPr="0023382C">
        <w:rPr>
          <w:rFonts w:asciiTheme="minorHAnsi" w:hAnsiTheme="minorHAnsi"/>
          <w:bCs/>
          <w:i/>
          <w:sz w:val="22"/>
          <w:szCs w:val="22"/>
        </w:rPr>
        <w:t>“ 87</w:t>
      </w:r>
      <w:proofErr w:type="gramEnd"/>
      <w:r w:rsidR="0023382C" w:rsidRPr="0023382C">
        <w:rPr>
          <w:rFonts w:asciiTheme="minorHAnsi" w:hAnsiTheme="minorHAnsi"/>
          <w:bCs/>
          <w:i/>
          <w:sz w:val="22"/>
          <w:szCs w:val="22"/>
        </w:rPr>
        <w:t>% of people have used their park or green space in the past year, more than any other public service, and 95% of people thought it was very or fairly important to have green spaces near to where they live.”</w:t>
      </w:r>
      <w:r>
        <w:rPr>
          <w:rFonts w:asciiTheme="minorHAnsi" w:hAnsiTheme="minorHAnsi"/>
          <w:bCs/>
          <w:sz w:val="22"/>
          <w:szCs w:val="22"/>
        </w:rPr>
        <w:t xml:space="preserve"> .</w:t>
      </w:r>
      <w:r w:rsidR="0023382C" w:rsidRPr="0023382C">
        <w:rPr>
          <w:rFonts w:asciiTheme="minorHAnsi" w:hAnsiTheme="minorHAnsi"/>
          <w:bCs/>
          <w:sz w:val="22"/>
          <w:szCs w:val="22"/>
        </w:rPr>
        <w:t xml:space="preserve"> </w:t>
      </w:r>
      <w:proofErr w:type="gramStart"/>
      <w:r w:rsidR="004D7BEF">
        <w:rPr>
          <w:rFonts w:asciiTheme="minorHAnsi" w:hAnsiTheme="minorHAnsi"/>
          <w:bCs/>
          <w:i/>
          <w:sz w:val="22"/>
          <w:szCs w:val="22"/>
        </w:rPr>
        <w:t>“ i</w:t>
      </w:r>
      <w:r w:rsidR="0023382C" w:rsidRPr="0023382C">
        <w:rPr>
          <w:rFonts w:asciiTheme="minorHAnsi" w:hAnsiTheme="minorHAnsi"/>
          <w:bCs/>
          <w:i/>
          <w:sz w:val="22"/>
          <w:szCs w:val="22"/>
        </w:rPr>
        <w:t>f</w:t>
      </w:r>
      <w:proofErr w:type="gramEnd"/>
      <w:r w:rsidR="0023382C" w:rsidRPr="0023382C">
        <w:rPr>
          <w:rFonts w:asciiTheme="minorHAnsi" w:hAnsiTheme="minorHAnsi"/>
          <w:bCs/>
          <w:i/>
          <w:sz w:val="22"/>
          <w:szCs w:val="22"/>
        </w:rPr>
        <w:t xml:space="preserve"> people are satisfied with their local park they tend to be satisfied with their council.”</w:t>
      </w:r>
      <w:r w:rsidR="0023382C" w:rsidRPr="0023382C">
        <w:rPr>
          <w:rFonts w:asciiTheme="minorHAnsi" w:hAnsiTheme="minorHAnsi"/>
          <w:bCs/>
          <w:sz w:val="22"/>
          <w:szCs w:val="22"/>
          <w:vertAlign w:val="superscript"/>
        </w:rPr>
        <w:footnoteReference w:id="1"/>
      </w:r>
    </w:p>
    <w:p w:rsidR="006A55F4" w:rsidRPr="006A55F4" w:rsidRDefault="006A55F4" w:rsidP="006A55F4">
      <w:pPr>
        <w:ind w:left="-425" w:right="-329"/>
        <w:rPr>
          <w:rFonts w:asciiTheme="minorHAnsi" w:hAnsiTheme="minorHAnsi"/>
          <w:sz w:val="14"/>
          <w:szCs w:val="14"/>
        </w:rPr>
      </w:pPr>
      <w:r w:rsidRPr="006A55F4">
        <w:rPr>
          <w:rFonts w:asciiTheme="minorHAnsi" w:hAnsiTheme="minorHAnsi"/>
          <w:sz w:val="14"/>
          <w:szCs w:val="14"/>
        </w:rPr>
        <w:t> </w:t>
      </w:r>
    </w:p>
    <w:p w:rsidR="00252E0E" w:rsidRPr="004D7BEF" w:rsidRDefault="00252E0E" w:rsidP="004D7BEF">
      <w:pPr>
        <w:pStyle w:val="ListParagraph"/>
        <w:numPr>
          <w:ilvl w:val="0"/>
          <w:numId w:val="8"/>
        </w:numPr>
        <w:ind w:left="142" w:right="-329" w:hanging="284"/>
        <w:rPr>
          <w:rFonts w:asciiTheme="minorHAnsi" w:hAnsiTheme="minorHAnsi"/>
          <w:sz w:val="22"/>
          <w:szCs w:val="22"/>
        </w:rPr>
      </w:pPr>
      <w:r w:rsidRPr="004D7BEF">
        <w:rPr>
          <w:rFonts w:asciiTheme="minorHAnsi" w:hAnsiTheme="minorHAnsi"/>
          <w:sz w:val="22"/>
          <w:szCs w:val="22"/>
        </w:rPr>
        <w:t xml:space="preserve">Obesity </w:t>
      </w:r>
      <w:r w:rsidR="004D7BEF">
        <w:rPr>
          <w:rFonts w:asciiTheme="minorHAnsi" w:hAnsiTheme="minorHAnsi"/>
          <w:sz w:val="22"/>
          <w:szCs w:val="22"/>
        </w:rPr>
        <w:t>and inactivity are impairing &amp;</w:t>
      </w:r>
      <w:r w:rsidRPr="004D7BEF">
        <w:rPr>
          <w:rFonts w:asciiTheme="minorHAnsi" w:hAnsiTheme="minorHAnsi"/>
          <w:sz w:val="22"/>
          <w:szCs w:val="22"/>
        </w:rPr>
        <w:t xml:space="preserve"> shortening the lives of milli</w:t>
      </w:r>
      <w:r w:rsidR="004D7BEF">
        <w:rPr>
          <w:rFonts w:asciiTheme="minorHAnsi" w:hAnsiTheme="minorHAnsi"/>
          <w:sz w:val="22"/>
          <w:szCs w:val="22"/>
        </w:rPr>
        <w:t>ons of people in Britain. A</w:t>
      </w:r>
      <w:r w:rsidRPr="004D7BEF">
        <w:rPr>
          <w:rFonts w:asciiTheme="minorHAnsi" w:hAnsiTheme="minorHAnsi"/>
          <w:sz w:val="22"/>
          <w:szCs w:val="22"/>
        </w:rPr>
        <w:t>lmost 25% of British adults are clinically obese with a further 40%</w:t>
      </w:r>
      <w:r w:rsidRPr="004678C7">
        <w:rPr>
          <w:rStyle w:val="FootnoteReference"/>
          <w:rFonts w:asciiTheme="minorHAnsi" w:hAnsiTheme="minorHAnsi"/>
          <w:sz w:val="22"/>
          <w:szCs w:val="22"/>
        </w:rPr>
        <w:footnoteReference w:id="2"/>
      </w:r>
      <w:r w:rsidRPr="004D7BEF">
        <w:rPr>
          <w:rFonts w:asciiTheme="minorHAnsi" w:hAnsiTheme="minorHAnsi"/>
          <w:sz w:val="22"/>
          <w:szCs w:val="22"/>
        </w:rPr>
        <w:t xml:space="preserve"> overweight and in danger of becoming obese. 18.9% of 10–11 year olds are obese</w:t>
      </w:r>
      <w:r w:rsidRPr="004678C7">
        <w:rPr>
          <w:rStyle w:val="FootnoteReference"/>
          <w:rFonts w:asciiTheme="minorHAnsi" w:hAnsiTheme="minorHAnsi"/>
          <w:sz w:val="22"/>
          <w:szCs w:val="22"/>
        </w:rPr>
        <w:footnoteReference w:id="3"/>
      </w:r>
      <w:r w:rsidR="004D7BEF" w:rsidRPr="004D7BEF">
        <w:rPr>
          <w:rFonts w:asciiTheme="minorHAnsi" w:hAnsiTheme="minorHAnsi"/>
          <w:sz w:val="22"/>
          <w:szCs w:val="22"/>
        </w:rPr>
        <w:t xml:space="preserve"> - if not tackled this</w:t>
      </w:r>
      <w:r w:rsidRPr="004D7BEF">
        <w:rPr>
          <w:rFonts w:asciiTheme="minorHAnsi" w:hAnsiTheme="minorHAnsi"/>
          <w:sz w:val="22"/>
          <w:szCs w:val="22"/>
        </w:rPr>
        <w:t xml:space="preserve"> will be a drain on the NHS for years to come. </w:t>
      </w:r>
    </w:p>
    <w:p w:rsidR="006A55F4" w:rsidRPr="006A55F4" w:rsidRDefault="006A55F4" w:rsidP="004D7BEF">
      <w:pPr>
        <w:ind w:left="142" w:right="-329" w:hanging="284"/>
        <w:rPr>
          <w:rFonts w:asciiTheme="minorHAnsi" w:hAnsiTheme="minorHAnsi"/>
          <w:sz w:val="14"/>
          <w:szCs w:val="14"/>
        </w:rPr>
      </w:pPr>
    </w:p>
    <w:p w:rsidR="00252E0E" w:rsidRPr="004D7BEF" w:rsidRDefault="00252E0E" w:rsidP="004D7BEF">
      <w:pPr>
        <w:pStyle w:val="ListParagraph"/>
        <w:numPr>
          <w:ilvl w:val="0"/>
          <w:numId w:val="8"/>
        </w:numPr>
        <w:ind w:left="142" w:right="-329" w:hanging="284"/>
        <w:rPr>
          <w:rFonts w:asciiTheme="minorHAnsi" w:hAnsiTheme="minorHAnsi"/>
          <w:sz w:val="22"/>
          <w:szCs w:val="22"/>
        </w:rPr>
      </w:pPr>
      <w:r w:rsidRPr="004D7BEF">
        <w:rPr>
          <w:rFonts w:asciiTheme="minorHAnsi" w:hAnsiTheme="minorHAnsi"/>
          <w:sz w:val="22"/>
          <w:szCs w:val="22"/>
        </w:rPr>
        <w:t>Obese and overweight patients cost the NHS £4.2bn per year with a further £11.6bn lost to the economy</w:t>
      </w:r>
      <w:r w:rsidRPr="004678C7">
        <w:rPr>
          <w:rStyle w:val="FootnoteReference"/>
          <w:rFonts w:asciiTheme="minorHAnsi" w:hAnsiTheme="minorHAnsi"/>
          <w:sz w:val="22"/>
          <w:szCs w:val="22"/>
        </w:rPr>
        <w:footnoteReference w:id="4"/>
      </w:r>
      <w:r w:rsidRPr="004D7BEF">
        <w:rPr>
          <w:rFonts w:asciiTheme="minorHAnsi" w:hAnsiTheme="minorHAnsi"/>
          <w:sz w:val="22"/>
          <w:szCs w:val="22"/>
        </w:rPr>
        <w:t xml:space="preserve"> through lost work days etc. A major cause of obesity, and other</w:t>
      </w:r>
      <w:r w:rsidR="004D7BEF" w:rsidRPr="004D7BEF">
        <w:rPr>
          <w:rFonts w:asciiTheme="minorHAnsi" w:hAnsiTheme="minorHAnsi"/>
          <w:sz w:val="22"/>
          <w:szCs w:val="22"/>
        </w:rPr>
        <w:t xml:space="preserve"> health problems, is inactivity -</w:t>
      </w:r>
      <w:r w:rsidRPr="004D7BEF">
        <w:rPr>
          <w:rFonts w:asciiTheme="minorHAnsi" w:hAnsiTheme="minorHAnsi"/>
          <w:sz w:val="22"/>
          <w:szCs w:val="22"/>
        </w:rPr>
        <w:t xml:space="preserve"> 23% of adults are classified as inactive, reducing this to 22% would save the NHS an estimated £1.44bn</w:t>
      </w:r>
      <w:r w:rsidRPr="004678C7">
        <w:rPr>
          <w:rStyle w:val="FootnoteReference"/>
          <w:rFonts w:asciiTheme="minorHAnsi" w:hAnsiTheme="minorHAnsi"/>
          <w:sz w:val="22"/>
          <w:szCs w:val="22"/>
        </w:rPr>
        <w:footnoteReference w:id="5"/>
      </w:r>
      <w:r w:rsidRPr="004D7BEF">
        <w:rPr>
          <w:rFonts w:asciiTheme="minorHAnsi" w:hAnsiTheme="minorHAnsi"/>
          <w:sz w:val="22"/>
          <w:szCs w:val="22"/>
        </w:rPr>
        <w:t>. A brisk walk every day, in a local park, can reduce the risk of heart attacks by 50%, strokes by 50%, diabetes by 50%, fracture of the femur by 30%, colon cancer by 30%, breast cancer by 30% and Alzheimer‘s by 25%</w:t>
      </w:r>
      <w:r w:rsidRPr="004678C7">
        <w:rPr>
          <w:rStyle w:val="FootnoteReference"/>
          <w:rFonts w:asciiTheme="minorHAnsi" w:hAnsiTheme="minorHAnsi"/>
          <w:sz w:val="22"/>
          <w:szCs w:val="22"/>
        </w:rPr>
        <w:footnoteReference w:id="6"/>
      </w:r>
      <w:r w:rsidRPr="004D7BEF">
        <w:rPr>
          <w:rFonts w:asciiTheme="minorHAnsi" w:hAnsiTheme="minorHAnsi"/>
          <w:sz w:val="22"/>
          <w:szCs w:val="22"/>
        </w:rPr>
        <w:t>.</w:t>
      </w:r>
    </w:p>
    <w:p w:rsidR="006A55F4" w:rsidRPr="006A55F4" w:rsidRDefault="006A55F4" w:rsidP="004D7BEF">
      <w:pPr>
        <w:ind w:left="142" w:right="-329" w:hanging="284"/>
        <w:rPr>
          <w:rFonts w:asciiTheme="minorHAnsi" w:hAnsiTheme="minorHAnsi"/>
          <w:sz w:val="14"/>
          <w:szCs w:val="14"/>
        </w:rPr>
      </w:pPr>
    </w:p>
    <w:p w:rsidR="00252E0E" w:rsidRPr="004D7BEF" w:rsidRDefault="00252E0E" w:rsidP="004D7BEF">
      <w:pPr>
        <w:pStyle w:val="ListParagraph"/>
        <w:numPr>
          <w:ilvl w:val="0"/>
          <w:numId w:val="8"/>
        </w:numPr>
        <w:ind w:left="142" w:right="-329" w:hanging="284"/>
        <w:rPr>
          <w:rFonts w:asciiTheme="minorHAnsi" w:hAnsiTheme="minorHAnsi"/>
          <w:sz w:val="22"/>
          <w:szCs w:val="22"/>
        </w:rPr>
      </w:pPr>
      <w:r w:rsidRPr="004D7BEF">
        <w:rPr>
          <w:rFonts w:asciiTheme="minorHAnsi" w:hAnsiTheme="minorHAnsi"/>
          <w:sz w:val="22"/>
          <w:szCs w:val="22"/>
        </w:rPr>
        <w:t>Almost 25% of Britons are classified as obese - compared with a European average of 16.7%.</w:t>
      </w:r>
      <w:r w:rsidRPr="004678C7">
        <w:rPr>
          <w:rStyle w:val="FootnoteReference"/>
          <w:rFonts w:asciiTheme="minorHAnsi" w:hAnsiTheme="minorHAnsi"/>
          <w:sz w:val="22"/>
          <w:szCs w:val="22"/>
        </w:rPr>
        <w:footnoteReference w:id="7"/>
      </w:r>
    </w:p>
    <w:p w:rsidR="00252E0E" w:rsidRPr="006A55F4" w:rsidRDefault="00252E0E" w:rsidP="004D7BEF">
      <w:pPr>
        <w:ind w:left="142" w:right="-329" w:hanging="284"/>
        <w:rPr>
          <w:rFonts w:asciiTheme="minorHAnsi" w:hAnsiTheme="minorHAnsi"/>
          <w:sz w:val="14"/>
          <w:szCs w:val="14"/>
        </w:rPr>
      </w:pPr>
    </w:p>
    <w:p w:rsidR="00252E0E" w:rsidRPr="004D7BEF" w:rsidRDefault="00252E0E" w:rsidP="004D7BEF">
      <w:pPr>
        <w:pStyle w:val="ListParagraph"/>
        <w:numPr>
          <w:ilvl w:val="0"/>
          <w:numId w:val="8"/>
        </w:numPr>
        <w:ind w:left="142" w:right="-329" w:hanging="284"/>
        <w:rPr>
          <w:rFonts w:asciiTheme="minorHAnsi" w:hAnsiTheme="minorHAnsi"/>
          <w:sz w:val="22"/>
          <w:szCs w:val="22"/>
        </w:rPr>
      </w:pPr>
      <w:r w:rsidRPr="004D7BEF">
        <w:rPr>
          <w:rFonts w:asciiTheme="minorHAnsi" w:hAnsiTheme="minorHAnsi"/>
          <w:sz w:val="22"/>
          <w:szCs w:val="22"/>
        </w:rPr>
        <w:t>Type 2 diabetes accounted for less than 3% of all diabetes cases in adolescents in 1990, but that share had risen to 45% in 2005</w:t>
      </w:r>
      <w:r w:rsidRPr="004678C7">
        <w:rPr>
          <w:rStyle w:val="FootnoteReference"/>
          <w:rFonts w:asciiTheme="minorHAnsi" w:hAnsiTheme="minorHAnsi"/>
          <w:sz w:val="22"/>
          <w:szCs w:val="22"/>
        </w:rPr>
        <w:footnoteReference w:id="8"/>
      </w:r>
      <w:r w:rsidRPr="004D7BEF">
        <w:rPr>
          <w:rFonts w:asciiTheme="minorHAnsi" w:hAnsiTheme="minorHAnsi"/>
          <w:sz w:val="22"/>
          <w:szCs w:val="22"/>
        </w:rPr>
        <w:t>.</w:t>
      </w:r>
    </w:p>
    <w:p w:rsidR="00252E0E" w:rsidRPr="004D7BEF" w:rsidRDefault="00252E0E" w:rsidP="004D7BEF">
      <w:pPr>
        <w:ind w:left="142" w:right="-330" w:hanging="284"/>
        <w:rPr>
          <w:rFonts w:asciiTheme="minorHAnsi" w:hAnsiTheme="minorHAnsi"/>
          <w:sz w:val="14"/>
          <w:szCs w:val="14"/>
        </w:rPr>
      </w:pPr>
    </w:p>
    <w:p w:rsidR="00252E0E" w:rsidRPr="004D7BEF" w:rsidRDefault="00252E0E" w:rsidP="004D7BEF">
      <w:pPr>
        <w:pStyle w:val="ListParagraph"/>
        <w:numPr>
          <w:ilvl w:val="0"/>
          <w:numId w:val="8"/>
        </w:numPr>
        <w:ind w:left="142" w:right="-330" w:hanging="284"/>
        <w:rPr>
          <w:rFonts w:asciiTheme="minorHAnsi" w:hAnsiTheme="minorHAnsi"/>
          <w:sz w:val="22"/>
          <w:szCs w:val="22"/>
        </w:rPr>
      </w:pPr>
      <w:r w:rsidRPr="004D7BEF">
        <w:rPr>
          <w:rFonts w:asciiTheme="minorHAnsi" w:hAnsiTheme="minorHAnsi"/>
          <w:sz w:val="22"/>
          <w:szCs w:val="22"/>
        </w:rPr>
        <w:t>Physical inactivity affects 60–70% of the adult population and increases the risk of obesity, type II diabetes, cardiovascular disease, cancer, hypertension and overall bad health</w:t>
      </w:r>
      <w:r w:rsidRPr="004678C7">
        <w:rPr>
          <w:rStyle w:val="FootnoteReference"/>
          <w:rFonts w:asciiTheme="minorHAnsi" w:hAnsiTheme="minorHAnsi"/>
          <w:sz w:val="22"/>
          <w:szCs w:val="22"/>
        </w:rPr>
        <w:footnoteReference w:id="9"/>
      </w:r>
      <w:r w:rsidRPr="004D7BEF">
        <w:rPr>
          <w:rFonts w:asciiTheme="minorHAnsi" w:hAnsiTheme="minorHAnsi"/>
          <w:sz w:val="22"/>
          <w:szCs w:val="22"/>
        </w:rPr>
        <w:t>.</w:t>
      </w:r>
    </w:p>
    <w:p w:rsidR="00252E0E" w:rsidRPr="004D7BEF" w:rsidRDefault="00252E0E" w:rsidP="004D7BEF">
      <w:pPr>
        <w:ind w:left="142" w:right="-330" w:hanging="284"/>
        <w:rPr>
          <w:rFonts w:asciiTheme="minorHAnsi" w:hAnsiTheme="minorHAnsi"/>
          <w:sz w:val="14"/>
          <w:szCs w:val="14"/>
        </w:rPr>
      </w:pPr>
    </w:p>
    <w:p w:rsidR="00252E0E" w:rsidRPr="004D7BEF" w:rsidRDefault="00252E0E" w:rsidP="004D7BEF">
      <w:pPr>
        <w:pStyle w:val="ListParagraph"/>
        <w:numPr>
          <w:ilvl w:val="0"/>
          <w:numId w:val="8"/>
        </w:numPr>
        <w:ind w:left="142" w:right="-330" w:hanging="284"/>
        <w:rPr>
          <w:rFonts w:asciiTheme="minorHAnsi" w:hAnsiTheme="minorHAnsi"/>
          <w:sz w:val="22"/>
          <w:szCs w:val="22"/>
        </w:rPr>
      </w:pPr>
      <w:r w:rsidRPr="004D7BEF">
        <w:rPr>
          <w:rFonts w:asciiTheme="minorHAnsi" w:hAnsiTheme="minorHAnsi"/>
          <w:sz w:val="22"/>
          <w:szCs w:val="22"/>
        </w:rPr>
        <w:t>MIND recommends that green exercise be seen as a clinically valid treatment for mental distress</w:t>
      </w:r>
      <w:r w:rsidRPr="004678C7">
        <w:rPr>
          <w:rStyle w:val="FootnoteReference"/>
          <w:rFonts w:asciiTheme="minorHAnsi" w:hAnsiTheme="minorHAnsi"/>
          <w:sz w:val="22"/>
          <w:szCs w:val="22"/>
        </w:rPr>
        <w:footnoteReference w:id="10"/>
      </w:r>
      <w:r w:rsidRPr="004D7BEF">
        <w:rPr>
          <w:rFonts w:asciiTheme="minorHAnsi" w:hAnsiTheme="minorHAnsi"/>
          <w:sz w:val="22"/>
          <w:szCs w:val="22"/>
        </w:rPr>
        <w:t>.</w:t>
      </w:r>
      <w:r w:rsidR="004D7BEF" w:rsidRPr="004D7BEF">
        <w:rPr>
          <w:rFonts w:asciiTheme="minorHAnsi" w:hAnsiTheme="minorHAnsi"/>
          <w:sz w:val="22"/>
          <w:szCs w:val="22"/>
        </w:rPr>
        <w:t xml:space="preserve"> The treatment of mental illness in England requires annual NHS expenditure of £3.8 billion</w:t>
      </w:r>
      <w:r w:rsidR="004D7BEF" w:rsidRPr="004678C7">
        <w:rPr>
          <w:rStyle w:val="FootnoteReference"/>
          <w:rFonts w:asciiTheme="minorHAnsi" w:hAnsiTheme="minorHAnsi"/>
          <w:sz w:val="22"/>
          <w:szCs w:val="22"/>
        </w:rPr>
        <w:footnoteReference w:id="11"/>
      </w:r>
      <w:r w:rsidR="004D7BEF" w:rsidRPr="004D7BEF">
        <w:rPr>
          <w:rFonts w:asciiTheme="minorHAnsi" w:hAnsiTheme="minorHAnsi"/>
          <w:sz w:val="22"/>
          <w:szCs w:val="22"/>
        </w:rPr>
        <w:t>.</w:t>
      </w:r>
    </w:p>
    <w:p w:rsidR="00252E0E" w:rsidRPr="004D7BEF" w:rsidRDefault="00252E0E" w:rsidP="004D7BEF">
      <w:pPr>
        <w:ind w:left="142" w:right="-330" w:hanging="284"/>
        <w:rPr>
          <w:rFonts w:asciiTheme="minorHAnsi" w:hAnsiTheme="minorHAnsi"/>
          <w:sz w:val="14"/>
          <w:szCs w:val="14"/>
        </w:rPr>
      </w:pPr>
    </w:p>
    <w:p w:rsidR="00252E0E" w:rsidRPr="004D7BEF" w:rsidRDefault="00252E0E" w:rsidP="004D7BEF">
      <w:pPr>
        <w:pStyle w:val="ListParagraph"/>
        <w:numPr>
          <w:ilvl w:val="0"/>
          <w:numId w:val="8"/>
        </w:numPr>
        <w:ind w:left="142" w:right="-330" w:hanging="284"/>
        <w:rPr>
          <w:rFonts w:asciiTheme="minorHAnsi" w:hAnsiTheme="minorHAnsi"/>
          <w:sz w:val="22"/>
          <w:szCs w:val="22"/>
        </w:rPr>
      </w:pPr>
      <w:r w:rsidRPr="004D7BEF">
        <w:rPr>
          <w:rFonts w:asciiTheme="minorHAnsi" w:hAnsiTheme="minorHAnsi"/>
          <w:sz w:val="22"/>
          <w:szCs w:val="22"/>
        </w:rPr>
        <w:t>Simply being outside in a green space can promote mental well-being, relieve stress, overcome isolation, improve social cohesion and alleviate physical problems</w:t>
      </w:r>
      <w:r w:rsidRPr="004678C7">
        <w:rPr>
          <w:rStyle w:val="FootnoteReference"/>
          <w:rFonts w:asciiTheme="minorHAnsi" w:hAnsiTheme="minorHAnsi"/>
          <w:sz w:val="22"/>
          <w:szCs w:val="22"/>
        </w:rPr>
        <w:footnoteReference w:id="12"/>
      </w:r>
      <w:r w:rsidRPr="004D7BEF">
        <w:rPr>
          <w:rFonts w:asciiTheme="minorHAnsi" w:hAnsiTheme="minorHAnsi"/>
          <w:sz w:val="22"/>
          <w:szCs w:val="22"/>
        </w:rPr>
        <w:t>.</w:t>
      </w:r>
    </w:p>
    <w:p w:rsidR="00252E0E" w:rsidRPr="007A5B8D" w:rsidRDefault="00252E0E" w:rsidP="004D7BEF">
      <w:pPr>
        <w:ind w:left="142" w:right="-330" w:hanging="284"/>
        <w:rPr>
          <w:rFonts w:asciiTheme="minorHAnsi" w:hAnsiTheme="minorHAnsi"/>
          <w:sz w:val="14"/>
          <w:szCs w:val="14"/>
        </w:rPr>
      </w:pPr>
    </w:p>
    <w:p w:rsidR="00252E0E" w:rsidRPr="007A5B8D" w:rsidRDefault="00252E0E" w:rsidP="007A5B8D">
      <w:pPr>
        <w:pStyle w:val="ListParagraph"/>
        <w:numPr>
          <w:ilvl w:val="0"/>
          <w:numId w:val="8"/>
        </w:numPr>
        <w:ind w:left="142" w:right="-330" w:hanging="284"/>
        <w:rPr>
          <w:rFonts w:ascii="Calibri" w:hAnsi="Calibri"/>
        </w:rPr>
      </w:pPr>
      <w:r w:rsidRPr="007A5B8D">
        <w:rPr>
          <w:rFonts w:asciiTheme="minorHAnsi" w:hAnsiTheme="minorHAnsi"/>
          <w:sz w:val="22"/>
          <w:szCs w:val="22"/>
        </w:rPr>
        <w:t>Unlike antidepressant drugs that cost £750 million a year, green exercise is free and does not carry the potential for negative side effects</w:t>
      </w:r>
      <w:r w:rsidRPr="004678C7">
        <w:rPr>
          <w:rStyle w:val="FootnoteReference"/>
          <w:rFonts w:asciiTheme="minorHAnsi" w:hAnsiTheme="minorHAnsi"/>
          <w:sz w:val="22"/>
          <w:szCs w:val="22"/>
        </w:rPr>
        <w:footnoteReference w:id="13"/>
      </w:r>
      <w:r w:rsidRPr="007A5B8D">
        <w:rPr>
          <w:rFonts w:asciiTheme="minorHAnsi" w:hAnsiTheme="minorHAnsi"/>
          <w:sz w:val="22"/>
          <w:szCs w:val="22"/>
        </w:rPr>
        <w:t>.</w:t>
      </w:r>
    </w:p>
    <w:sectPr w:rsidR="00252E0E" w:rsidRPr="007A5B8D" w:rsidSect="008E4B85">
      <w:headerReference w:type="default" r:id="rId8"/>
      <w:pgSz w:w="11906" w:h="16838"/>
      <w:pgMar w:top="144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F9" w:rsidRDefault="006570F9">
      <w:r>
        <w:separator/>
      </w:r>
    </w:p>
  </w:endnote>
  <w:endnote w:type="continuationSeparator" w:id="0">
    <w:p w:rsidR="006570F9" w:rsidRDefault="0065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kzidenz-Grotesk BQ">
    <w:altName w:val="Eras Light ITC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F9" w:rsidRDefault="006570F9">
      <w:r>
        <w:separator/>
      </w:r>
    </w:p>
  </w:footnote>
  <w:footnote w:type="continuationSeparator" w:id="0">
    <w:p w:rsidR="006570F9" w:rsidRDefault="006570F9">
      <w:r>
        <w:continuationSeparator/>
      </w:r>
    </w:p>
  </w:footnote>
  <w:footnote w:id="1">
    <w:p w:rsidR="0023382C" w:rsidRDefault="0023382C" w:rsidP="00CC3B40">
      <w:pPr>
        <w:pStyle w:val="FootnoteText"/>
        <w:ind w:left="-425"/>
        <w:rPr>
          <w:rFonts w:asciiTheme="minorHAnsi" w:hAnsiTheme="minorHAnsi"/>
          <w:sz w:val="16"/>
          <w:szCs w:val="16"/>
        </w:rPr>
      </w:pPr>
      <w:r w:rsidRPr="00CC3B40">
        <w:rPr>
          <w:sz w:val="16"/>
          <w:szCs w:val="16"/>
        </w:rPr>
        <w:footnoteRef/>
      </w:r>
      <w:r w:rsidR="00CC3B40">
        <w:rPr>
          <w:rFonts w:asciiTheme="minorHAnsi" w:hAnsiTheme="minorHAnsi"/>
          <w:sz w:val="16"/>
          <w:szCs w:val="16"/>
        </w:rPr>
        <w:t xml:space="preserve"> </w:t>
      </w:r>
      <w:r w:rsidRPr="00CC3B40">
        <w:rPr>
          <w:rFonts w:asciiTheme="minorHAnsi" w:hAnsiTheme="minorHAnsi"/>
          <w:sz w:val="16"/>
          <w:szCs w:val="16"/>
        </w:rPr>
        <w:t xml:space="preserve"> </w:t>
      </w:r>
      <w:r w:rsidRPr="00252E0E">
        <w:rPr>
          <w:rFonts w:asciiTheme="minorHAnsi" w:hAnsiTheme="minorHAnsi"/>
          <w:sz w:val="16"/>
          <w:szCs w:val="16"/>
        </w:rPr>
        <w:t>CABE Space 2010, Urban Green Nation: Building the Evidence.</w:t>
      </w:r>
    </w:p>
    <w:p w:rsidR="0023382C" w:rsidRPr="004D7BEF" w:rsidRDefault="0023382C" w:rsidP="00CC3B40">
      <w:pPr>
        <w:pStyle w:val="FootnoteText"/>
        <w:ind w:left="-425"/>
        <w:rPr>
          <w:rFonts w:asciiTheme="minorHAnsi" w:hAnsiTheme="minorHAnsi"/>
          <w:sz w:val="8"/>
          <w:szCs w:val="8"/>
        </w:rPr>
      </w:pPr>
    </w:p>
  </w:footnote>
  <w:footnote w:id="2">
    <w:p w:rsidR="00252E0E" w:rsidRPr="00252E0E" w:rsidRDefault="00252E0E" w:rsidP="00CC3B40">
      <w:pPr>
        <w:pStyle w:val="FootnoteText"/>
        <w:ind w:left="-425"/>
        <w:rPr>
          <w:rFonts w:asciiTheme="minorHAnsi" w:hAnsiTheme="minorHAnsi"/>
          <w:sz w:val="16"/>
          <w:szCs w:val="16"/>
        </w:rPr>
      </w:pPr>
      <w:r w:rsidRPr="00252E0E">
        <w:rPr>
          <w:rFonts w:asciiTheme="minorHAnsi" w:hAnsiTheme="minorHAnsi"/>
          <w:sz w:val="16"/>
          <w:szCs w:val="16"/>
        </w:rPr>
        <w:footnoteRef/>
      </w:r>
      <w:r w:rsidRPr="00252E0E">
        <w:rPr>
          <w:rFonts w:asciiTheme="minorHAnsi" w:hAnsiTheme="minorHAnsi"/>
          <w:sz w:val="16"/>
          <w:szCs w:val="16"/>
        </w:rPr>
        <w:t xml:space="preserve"> </w:t>
      </w:r>
      <w:r w:rsidR="00CC3B40">
        <w:rPr>
          <w:rFonts w:asciiTheme="minorHAnsi" w:hAnsiTheme="minorHAnsi"/>
          <w:sz w:val="16"/>
          <w:szCs w:val="16"/>
        </w:rPr>
        <w:t xml:space="preserve"> </w:t>
      </w:r>
      <w:r w:rsidRPr="00252E0E">
        <w:rPr>
          <w:rFonts w:asciiTheme="minorHAnsi" w:hAnsiTheme="minorHAnsi"/>
          <w:sz w:val="16"/>
          <w:szCs w:val="16"/>
        </w:rPr>
        <w:t>Health and Social Care Information Centre, as reported in “The Independent” - http://www.independent.co.uk/life-style/health-and-families/health-news/obesity-will-take-eight-years-off-your-life-study-says-9904200.html</w:t>
      </w:r>
    </w:p>
    <w:p w:rsidR="00252E0E" w:rsidRPr="004D7BEF" w:rsidRDefault="00252E0E" w:rsidP="00CC3B40">
      <w:pPr>
        <w:pStyle w:val="FootnoteText"/>
        <w:ind w:left="-425"/>
        <w:rPr>
          <w:rFonts w:asciiTheme="minorHAnsi" w:hAnsiTheme="minorHAnsi"/>
          <w:sz w:val="8"/>
          <w:szCs w:val="8"/>
        </w:rPr>
      </w:pPr>
    </w:p>
  </w:footnote>
  <w:footnote w:id="3">
    <w:p w:rsidR="00252E0E" w:rsidRPr="00252E0E" w:rsidRDefault="00252E0E" w:rsidP="00CC3B40">
      <w:pPr>
        <w:pStyle w:val="FootnoteText"/>
        <w:ind w:left="-425"/>
        <w:rPr>
          <w:rFonts w:asciiTheme="minorHAnsi" w:hAnsiTheme="minorHAnsi"/>
          <w:sz w:val="16"/>
          <w:szCs w:val="16"/>
        </w:rPr>
      </w:pPr>
      <w:r w:rsidRPr="00252E0E">
        <w:rPr>
          <w:rFonts w:asciiTheme="minorHAnsi" w:hAnsiTheme="minorHAnsi"/>
          <w:sz w:val="16"/>
          <w:szCs w:val="16"/>
        </w:rPr>
        <w:footnoteRef/>
      </w:r>
      <w:r w:rsidRPr="00252E0E">
        <w:rPr>
          <w:rFonts w:asciiTheme="minorHAnsi" w:hAnsiTheme="minorHAnsi"/>
          <w:sz w:val="16"/>
          <w:szCs w:val="16"/>
        </w:rPr>
        <w:t xml:space="preserve"> </w:t>
      </w:r>
      <w:r w:rsidR="00CC3B40">
        <w:rPr>
          <w:rFonts w:asciiTheme="minorHAnsi" w:hAnsiTheme="minorHAnsi"/>
          <w:sz w:val="16"/>
          <w:szCs w:val="16"/>
        </w:rPr>
        <w:t xml:space="preserve"> </w:t>
      </w:r>
      <w:r w:rsidRPr="00252E0E">
        <w:rPr>
          <w:rFonts w:asciiTheme="minorHAnsi" w:hAnsiTheme="minorHAnsi"/>
          <w:sz w:val="16"/>
          <w:szCs w:val="16"/>
        </w:rPr>
        <w:t>Government Office for Science. (2007). Foresight: Tackling Obesities: Future Choices - Project Report. 2nd Edition</w:t>
      </w:r>
    </w:p>
    <w:p w:rsidR="00252E0E" w:rsidRPr="004D7BEF" w:rsidRDefault="00252E0E" w:rsidP="00CC3B40">
      <w:pPr>
        <w:pStyle w:val="FootnoteText"/>
        <w:ind w:left="-425"/>
        <w:rPr>
          <w:rFonts w:asciiTheme="minorHAnsi" w:hAnsiTheme="minorHAnsi"/>
          <w:sz w:val="8"/>
          <w:szCs w:val="8"/>
        </w:rPr>
      </w:pPr>
    </w:p>
  </w:footnote>
  <w:footnote w:id="4">
    <w:p w:rsidR="00252E0E" w:rsidRPr="00252E0E" w:rsidRDefault="00252E0E" w:rsidP="00CC3B40">
      <w:pPr>
        <w:pStyle w:val="FootnoteText"/>
        <w:ind w:left="-425"/>
        <w:rPr>
          <w:rFonts w:asciiTheme="minorHAnsi" w:hAnsiTheme="minorHAnsi"/>
          <w:sz w:val="16"/>
          <w:szCs w:val="16"/>
        </w:rPr>
      </w:pPr>
      <w:r w:rsidRPr="00252E0E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252E0E">
        <w:rPr>
          <w:rFonts w:asciiTheme="minorHAnsi" w:hAnsiTheme="minorHAnsi"/>
          <w:sz w:val="16"/>
          <w:szCs w:val="16"/>
        </w:rPr>
        <w:t xml:space="preserve"> </w:t>
      </w:r>
      <w:r w:rsidR="00CC3B40">
        <w:rPr>
          <w:rFonts w:asciiTheme="minorHAnsi" w:hAnsiTheme="minorHAnsi"/>
          <w:sz w:val="16"/>
          <w:szCs w:val="16"/>
        </w:rPr>
        <w:t xml:space="preserve"> </w:t>
      </w:r>
      <w:r w:rsidRPr="00252E0E">
        <w:rPr>
          <w:rFonts w:asciiTheme="minorHAnsi" w:hAnsiTheme="minorHAnsi"/>
          <w:sz w:val="16"/>
          <w:szCs w:val="16"/>
        </w:rPr>
        <w:t>Lifestyle statistics team, Health and Social Care Information Centre (2013) National Child Measurement Programme: England, 2012/13 school year. London: HSCIC</w:t>
      </w:r>
    </w:p>
    <w:p w:rsidR="00252E0E" w:rsidRPr="004D7BEF" w:rsidRDefault="00252E0E" w:rsidP="00CC3B40">
      <w:pPr>
        <w:pStyle w:val="FootnoteText"/>
        <w:ind w:left="-425"/>
        <w:rPr>
          <w:rFonts w:asciiTheme="minorHAnsi" w:hAnsiTheme="minorHAnsi"/>
          <w:sz w:val="8"/>
          <w:szCs w:val="8"/>
        </w:rPr>
      </w:pPr>
    </w:p>
  </w:footnote>
  <w:footnote w:id="5">
    <w:p w:rsidR="00252E0E" w:rsidRPr="00252E0E" w:rsidRDefault="00252E0E" w:rsidP="00CC3B40">
      <w:pPr>
        <w:pStyle w:val="FootnoteText"/>
        <w:ind w:left="-425"/>
        <w:rPr>
          <w:rFonts w:asciiTheme="minorHAnsi" w:hAnsiTheme="minorHAnsi"/>
          <w:sz w:val="16"/>
          <w:szCs w:val="16"/>
        </w:rPr>
      </w:pPr>
      <w:r w:rsidRPr="00252E0E">
        <w:rPr>
          <w:rFonts w:asciiTheme="minorHAnsi" w:hAnsiTheme="minorHAnsi"/>
          <w:sz w:val="16"/>
          <w:szCs w:val="16"/>
        </w:rPr>
        <w:footnoteRef/>
      </w:r>
      <w:r w:rsidRPr="00252E0E">
        <w:rPr>
          <w:rFonts w:asciiTheme="minorHAnsi" w:hAnsiTheme="minorHAnsi"/>
          <w:sz w:val="16"/>
          <w:szCs w:val="16"/>
        </w:rPr>
        <w:t xml:space="preserve"> </w:t>
      </w:r>
      <w:r w:rsidR="00CC3B40">
        <w:rPr>
          <w:rFonts w:asciiTheme="minorHAnsi" w:hAnsiTheme="minorHAnsi"/>
          <w:sz w:val="16"/>
          <w:szCs w:val="16"/>
        </w:rPr>
        <w:t xml:space="preserve"> </w:t>
      </w:r>
      <w:r w:rsidRPr="00252E0E">
        <w:rPr>
          <w:rFonts w:asciiTheme="minorHAnsi" w:hAnsiTheme="minorHAnsi"/>
          <w:sz w:val="16"/>
          <w:szCs w:val="16"/>
        </w:rPr>
        <w:t>The Forestry Commission. (2005). Economic Benefits of Accessible Green Spaces for Physical and Mental Health   </w:t>
      </w:r>
    </w:p>
    <w:p w:rsidR="00252E0E" w:rsidRPr="004D7BEF" w:rsidRDefault="00252E0E" w:rsidP="00CC3B40">
      <w:pPr>
        <w:pStyle w:val="FootnoteText"/>
        <w:ind w:left="-425"/>
        <w:rPr>
          <w:rFonts w:asciiTheme="minorHAnsi" w:hAnsiTheme="minorHAnsi"/>
          <w:sz w:val="8"/>
          <w:szCs w:val="8"/>
        </w:rPr>
      </w:pPr>
    </w:p>
  </w:footnote>
  <w:footnote w:id="6">
    <w:p w:rsidR="00252E0E" w:rsidRPr="00252E0E" w:rsidRDefault="00252E0E" w:rsidP="00CC3B40">
      <w:pPr>
        <w:pStyle w:val="FootnoteText"/>
        <w:ind w:left="-425"/>
        <w:rPr>
          <w:rFonts w:asciiTheme="minorHAnsi" w:hAnsiTheme="minorHAnsi"/>
          <w:sz w:val="16"/>
          <w:szCs w:val="16"/>
        </w:rPr>
      </w:pPr>
      <w:r w:rsidRPr="00252E0E">
        <w:rPr>
          <w:rFonts w:asciiTheme="minorHAnsi" w:hAnsiTheme="minorHAnsi"/>
          <w:sz w:val="16"/>
          <w:szCs w:val="16"/>
        </w:rPr>
        <w:footnoteRef/>
      </w:r>
      <w:r w:rsidRPr="00252E0E">
        <w:rPr>
          <w:rFonts w:asciiTheme="minorHAnsi" w:hAnsiTheme="minorHAnsi"/>
          <w:sz w:val="16"/>
          <w:szCs w:val="16"/>
        </w:rPr>
        <w:t xml:space="preserve"> </w:t>
      </w:r>
      <w:r w:rsidR="004D7BEF">
        <w:rPr>
          <w:rFonts w:asciiTheme="minorHAnsi" w:hAnsiTheme="minorHAnsi"/>
          <w:sz w:val="16"/>
          <w:szCs w:val="16"/>
        </w:rPr>
        <w:t xml:space="preserve"> </w:t>
      </w:r>
      <w:r w:rsidRPr="00252E0E">
        <w:rPr>
          <w:rFonts w:asciiTheme="minorHAnsi" w:hAnsiTheme="minorHAnsi"/>
          <w:sz w:val="16"/>
          <w:szCs w:val="16"/>
        </w:rPr>
        <w:t>Bird, W. (2002). Green Space and our Health; paper to London Greenspace conference</w:t>
      </w:r>
    </w:p>
    <w:p w:rsidR="00252E0E" w:rsidRPr="004D7BEF" w:rsidRDefault="00252E0E" w:rsidP="00CC3B40">
      <w:pPr>
        <w:pStyle w:val="FootnoteText"/>
        <w:ind w:left="-425"/>
        <w:rPr>
          <w:rFonts w:asciiTheme="minorHAnsi" w:hAnsiTheme="minorHAnsi"/>
          <w:sz w:val="8"/>
          <w:szCs w:val="8"/>
        </w:rPr>
      </w:pPr>
    </w:p>
  </w:footnote>
  <w:footnote w:id="7">
    <w:p w:rsidR="00252E0E" w:rsidRPr="00252E0E" w:rsidRDefault="00252E0E" w:rsidP="00CC3B40">
      <w:pPr>
        <w:pStyle w:val="FootnoteText"/>
        <w:ind w:left="-425"/>
        <w:rPr>
          <w:rFonts w:asciiTheme="minorHAnsi" w:hAnsiTheme="minorHAnsi"/>
          <w:sz w:val="16"/>
          <w:szCs w:val="16"/>
        </w:rPr>
      </w:pPr>
      <w:r w:rsidRPr="00252E0E">
        <w:rPr>
          <w:rFonts w:asciiTheme="minorHAnsi" w:hAnsiTheme="minorHAnsi"/>
          <w:sz w:val="16"/>
          <w:szCs w:val="16"/>
        </w:rPr>
        <w:footnoteRef/>
      </w:r>
      <w:r w:rsidRPr="00252E0E">
        <w:rPr>
          <w:rFonts w:asciiTheme="minorHAnsi" w:hAnsiTheme="minorHAnsi"/>
          <w:sz w:val="16"/>
          <w:szCs w:val="16"/>
        </w:rPr>
        <w:t xml:space="preserve"> </w:t>
      </w:r>
      <w:r w:rsidR="004D7BEF">
        <w:rPr>
          <w:rFonts w:asciiTheme="minorHAnsi" w:hAnsiTheme="minorHAnsi"/>
          <w:sz w:val="16"/>
          <w:szCs w:val="16"/>
        </w:rPr>
        <w:t xml:space="preserve"> </w:t>
      </w:r>
      <w:r w:rsidRPr="00252E0E">
        <w:rPr>
          <w:rFonts w:asciiTheme="minorHAnsi" w:hAnsiTheme="minorHAnsi"/>
          <w:sz w:val="16"/>
          <w:szCs w:val="16"/>
        </w:rPr>
        <w:t>OECD/European Union (2014), “Overweight and obesity among adults”, in Health at a Glance: Europe 2014, OECD Publishing. http://dx.doi.org/10.1787/health_glance_eur-2014-23-en</w:t>
      </w:r>
    </w:p>
    <w:p w:rsidR="00252E0E" w:rsidRPr="004D7BEF" w:rsidRDefault="00252E0E" w:rsidP="00CC3B40">
      <w:pPr>
        <w:pStyle w:val="FootnoteText"/>
        <w:ind w:left="-425"/>
        <w:rPr>
          <w:rFonts w:asciiTheme="minorHAnsi" w:hAnsiTheme="minorHAnsi"/>
          <w:sz w:val="8"/>
          <w:szCs w:val="8"/>
        </w:rPr>
      </w:pPr>
    </w:p>
  </w:footnote>
  <w:footnote w:id="8">
    <w:p w:rsidR="00252E0E" w:rsidRPr="00252E0E" w:rsidRDefault="00252E0E" w:rsidP="00CC3B40">
      <w:pPr>
        <w:pStyle w:val="FootnoteText"/>
        <w:ind w:left="-425"/>
        <w:rPr>
          <w:rFonts w:asciiTheme="minorHAnsi" w:hAnsiTheme="minorHAnsi"/>
          <w:sz w:val="16"/>
          <w:szCs w:val="16"/>
        </w:rPr>
      </w:pPr>
      <w:r w:rsidRPr="00252E0E">
        <w:rPr>
          <w:rFonts w:asciiTheme="minorHAnsi" w:hAnsiTheme="minorHAnsi"/>
          <w:sz w:val="16"/>
          <w:szCs w:val="16"/>
        </w:rPr>
        <w:footnoteRef/>
      </w:r>
      <w:r w:rsidRPr="00252E0E">
        <w:rPr>
          <w:rFonts w:asciiTheme="minorHAnsi" w:hAnsiTheme="minorHAnsi"/>
          <w:sz w:val="16"/>
          <w:szCs w:val="16"/>
        </w:rPr>
        <w:t xml:space="preserve"> </w:t>
      </w:r>
      <w:r w:rsidR="004D7BEF">
        <w:rPr>
          <w:rFonts w:asciiTheme="minorHAnsi" w:hAnsiTheme="minorHAnsi"/>
          <w:sz w:val="16"/>
          <w:szCs w:val="16"/>
        </w:rPr>
        <w:t xml:space="preserve"> </w:t>
      </w:r>
      <w:r w:rsidRPr="00252E0E">
        <w:rPr>
          <w:rFonts w:asciiTheme="minorHAnsi" w:hAnsiTheme="minorHAnsi"/>
          <w:sz w:val="16"/>
          <w:szCs w:val="16"/>
        </w:rPr>
        <w:t xml:space="preserve">O. </w:t>
      </w:r>
      <w:proofErr w:type="spellStart"/>
      <w:r w:rsidRPr="00252E0E">
        <w:rPr>
          <w:rFonts w:asciiTheme="minorHAnsi" w:hAnsiTheme="minorHAnsi"/>
          <w:sz w:val="16"/>
          <w:szCs w:val="16"/>
        </w:rPr>
        <w:t>Pinhas-Hamiel</w:t>
      </w:r>
      <w:proofErr w:type="spellEnd"/>
      <w:r w:rsidRPr="00252E0E">
        <w:rPr>
          <w:rFonts w:asciiTheme="minorHAnsi" w:hAnsiTheme="minorHAnsi"/>
          <w:sz w:val="16"/>
          <w:szCs w:val="16"/>
        </w:rPr>
        <w:t xml:space="preserve"> and P. </w:t>
      </w:r>
      <w:proofErr w:type="spellStart"/>
      <w:r w:rsidRPr="00252E0E">
        <w:rPr>
          <w:rFonts w:asciiTheme="minorHAnsi" w:hAnsiTheme="minorHAnsi"/>
          <w:sz w:val="16"/>
          <w:szCs w:val="16"/>
        </w:rPr>
        <w:t>Zeitler</w:t>
      </w:r>
      <w:proofErr w:type="spellEnd"/>
      <w:r w:rsidRPr="00252E0E">
        <w:rPr>
          <w:rFonts w:asciiTheme="minorHAnsi" w:hAnsiTheme="minorHAnsi"/>
          <w:sz w:val="16"/>
          <w:szCs w:val="16"/>
        </w:rPr>
        <w:t>, “The global spread of type 2 diabetes mellitus in children and adolescents</w:t>
      </w:r>
      <w:r w:rsidR="00670666">
        <w:rPr>
          <w:rFonts w:asciiTheme="minorHAnsi" w:hAnsiTheme="minorHAnsi"/>
          <w:sz w:val="16"/>
          <w:szCs w:val="16"/>
        </w:rPr>
        <w:t xml:space="preserve">,” Journal of </w:t>
      </w:r>
      <w:proofErr w:type="spellStart"/>
      <w:r w:rsidR="00670666">
        <w:rPr>
          <w:rFonts w:asciiTheme="minorHAnsi" w:hAnsiTheme="minorHAnsi"/>
          <w:sz w:val="16"/>
          <w:szCs w:val="16"/>
        </w:rPr>
        <w:t>Pediatrics</w:t>
      </w:r>
      <w:proofErr w:type="spellEnd"/>
      <w:r w:rsidR="00670666">
        <w:rPr>
          <w:rFonts w:asciiTheme="minorHAnsi" w:hAnsiTheme="minorHAnsi"/>
          <w:sz w:val="16"/>
          <w:szCs w:val="16"/>
        </w:rPr>
        <w:t>, v.</w:t>
      </w:r>
      <w:r w:rsidRPr="00252E0E">
        <w:rPr>
          <w:rFonts w:asciiTheme="minorHAnsi" w:hAnsiTheme="minorHAnsi"/>
          <w:sz w:val="16"/>
          <w:szCs w:val="16"/>
        </w:rPr>
        <w:t xml:space="preserve"> 146, 2005.</w:t>
      </w:r>
    </w:p>
    <w:p w:rsidR="00252E0E" w:rsidRPr="004D7BEF" w:rsidRDefault="00252E0E" w:rsidP="00CC3B40">
      <w:pPr>
        <w:pStyle w:val="FootnoteText"/>
        <w:ind w:left="-425"/>
        <w:rPr>
          <w:rFonts w:asciiTheme="minorHAnsi" w:hAnsiTheme="minorHAnsi"/>
          <w:sz w:val="8"/>
          <w:szCs w:val="8"/>
        </w:rPr>
      </w:pPr>
    </w:p>
  </w:footnote>
  <w:footnote w:id="9">
    <w:p w:rsidR="00252E0E" w:rsidRPr="00252E0E" w:rsidRDefault="00252E0E" w:rsidP="00CC3B40">
      <w:pPr>
        <w:pStyle w:val="FootnoteText"/>
        <w:ind w:left="-425"/>
        <w:rPr>
          <w:rFonts w:asciiTheme="minorHAnsi" w:hAnsiTheme="minorHAnsi"/>
          <w:sz w:val="16"/>
          <w:szCs w:val="16"/>
        </w:rPr>
      </w:pPr>
      <w:r w:rsidRPr="00252E0E">
        <w:rPr>
          <w:rFonts w:asciiTheme="minorHAnsi" w:hAnsiTheme="minorHAnsi"/>
          <w:sz w:val="16"/>
          <w:szCs w:val="16"/>
        </w:rPr>
        <w:footnoteRef/>
      </w:r>
      <w:r w:rsidRPr="00252E0E">
        <w:rPr>
          <w:rFonts w:asciiTheme="minorHAnsi" w:hAnsiTheme="minorHAnsi"/>
          <w:sz w:val="16"/>
          <w:szCs w:val="16"/>
        </w:rPr>
        <w:t xml:space="preserve"> </w:t>
      </w:r>
      <w:r w:rsidR="004D7BEF">
        <w:rPr>
          <w:rFonts w:asciiTheme="minorHAnsi" w:hAnsiTheme="minorHAnsi"/>
          <w:sz w:val="16"/>
          <w:szCs w:val="16"/>
        </w:rPr>
        <w:t xml:space="preserve"> </w:t>
      </w:r>
      <w:r w:rsidRPr="00252E0E">
        <w:rPr>
          <w:rFonts w:asciiTheme="minorHAnsi" w:hAnsiTheme="minorHAnsi"/>
          <w:sz w:val="16"/>
          <w:szCs w:val="16"/>
        </w:rPr>
        <w:t>Department of Health (2010) 2009 Annual Report of the Chief Medical Officer</w:t>
      </w:r>
    </w:p>
    <w:p w:rsidR="00252E0E" w:rsidRPr="004D7BEF" w:rsidRDefault="00252E0E" w:rsidP="00CC3B40">
      <w:pPr>
        <w:pStyle w:val="FootnoteText"/>
        <w:ind w:left="-425"/>
        <w:rPr>
          <w:rFonts w:asciiTheme="minorHAnsi" w:hAnsiTheme="minorHAnsi"/>
          <w:sz w:val="8"/>
          <w:szCs w:val="8"/>
        </w:rPr>
      </w:pPr>
    </w:p>
  </w:footnote>
  <w:footnote w:id="10">
    <w:p w:rsidR="00252E0E" w:rsidRPr="00252E0E" w:rsidRDefault="00252E0E" w:rsidP="00CC3B40">
      <w:pPr>
        <w:pStyle w:val="FootnoteText"/>
        <w:ind w:left="-425"/>
        <w:rPr>
          <w:rFonts w:asciiTheme="minorHAnsi" w:hAnsiTheme="minorHAnsi"/>
          <w:sz w:val="16"/>
          <w:szCs w:val="16"/>
        </w:rPr>
      </w:pPr>
      <w:r w:rsidRPr="00252E0E">
        <w:rPr>
          <w:rFonts w:asciiTheme="minorHAnsi" w:hAnsiTheme="minorHAnsi"/>
          <w:sz w:val="16"/>
          <w:szCs w:val="16"/>
        </w:rPr>
        <w:footnoteRef/>
      </w:r>
      <w:r w:rsidRPr="00252E0E">
        <w:rPr>
          <w:rFonts w:asciiTheme="minorHAnsi" w:hAnsiTheme="minorHAnsi"/>
          <w:sz w:val="16"/>
          <w:szCs w:val="16"/>
        </w:rPr>
        <w:t xml:space="preserve"> </w:t>
      </w:r>
      <w:r w:rsidR="004D7BEF">
        <w:rPr>
          <w:rFonts w:asciiTheme="minorHAnsi" w:hAnsiTheme="minorHAnsi"/>
          <w:sz w:val="16"/>
          <w:szCs w:val="16"/>
        </w:rPr>
        <w:t xml:space="preserve"> </w:t>
      </w:r>
      <w:r w:rsidRPr="00252E0E">
        <w:rPr>
          <w:rFonts w:asciiTheme="minorHAnsi" w:hAnsiTheme="minorHAnsi"/>
          <w:sz w:val="16"/>
          <w:szCs w:val="16"/>
        </w:rPr>
        <w:t xml:space="preserve">MIND. 2007. </w:t>
      </w:r>
      <w:proofErr w:type="spellStart"/>
      <w:r w:rsidRPr="00252E0E">
        <w:rPr>
          <w:rFonts w:asciiTheme="minorHAnsi" w:hAnsiTheme="minorHAnsi"/>
          <w:sz w:val="16"/>
          <w:szCs w:val="16"/>
        </w:rPr>
        <w:t>Ecotherapy</w:t>
      </w:r>
      <w:proofErr w:type="spellEnd"/>
      <w:r w:rsidRPr="00252E0E">
        <w:rPr>
          <w:rFonts w:asciiTheme="minorHAnsi" w:hAnsiTheme="minorHAnsi"/>
          <w:sz w:val="16"/>
          <w:szCs w:val="16"/>
        </w:rPr>
        <w:t>: the green agenda for mental health.</w:t>
      </w:r>
    </w:p>
    <w:p w:rsidR="00252E0E" w:rsidRPr="004D7BEF" w:rsidRDefault="00252E0E" w:rsidP="00CC3B40">
      <w:pPr>
        <w:pStyle w:val="FootnoteText"/>
        <w:ind w:left="-425"/>
        <w:rPr>
          <w:rFonts w:asciiTheme="minorHAnsi" w:hAnsiTheme="minorHAnsi"/>
          <w:b/>
          <w:sz w:val="8"/>
          <w:szCs w:val="8"/>
        </w:rPr>
      </w:pPr>
    </w:p>
  </w:footnote>
  <w:footnote w:id="11">
    <w:p w:rsidR="004D7BEF" w:rsidRDefault="004D7BEF" w:rsidP="004D7BEF">
      <w:pPr>
        <w:pStyle w:val="FootnoteText"/>
        <w:ind w:left="-426"/>
        <w:rPr>
          <w:rFonts w:asciiTheme="minorHAnsi" w:hAnsiTheme="minorHAnsi"/>
          <w:sz w:val="16"/>
          <w:szCs w:val="16"/>
        </w:rPr>
      </w:pPr>
      <w:r w:rsidRPr="00252E0E">
        <w:rPr>
          <w:rFonts w:asciiTheme="minorHAnsi" w:hAnsiTheme="minorHAnsi"/>
          <w:sz w:val="16"/>
          <w:szCs w:val="16"/>
        </w:rPr>
        <w:footnoteRef/>
      </w:r>
      <w:r w:rsidRPr="00252E0E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 </w:t>
      </w:r>
      <w:r w:rsidRPr="00252E0E">
        <w:rPr>
          <w:rFonts w:asciiTheme="minorHAnsi" w:hAnsiTheme="minorHAnsi"/>
          <w:sz w:val="16"/>
          <w:szCs w:val="16"/>
        </w:rPr>
        <w:t>The Department of Health. 2004. At least five a week: Evidence on the impact of physical activity and its’ relationship to health. A report from the Chief Medical Officer</w:t>
      </w:r>
    </w:p>
    <w:p w:rsidR="004D7BEF" w:rsidRPr="004D7BEF" w:rsidRDefault="004D7BEF" w:rsidP="004D7BEF">
      <w:pPr>
        <w:pStyle w:val="FootnoteText"/>
        <w:ind w:left="-426"/>
        <w:rPr>
          <w:rFonts w:asciiTheme="minorHAnsi" w:hAnsiTheme="minorHAnsi"/>
          <w:sz w:val="8"/>
          <w:szCs w:val="8"/>
        </w:rPr>
      </w:pPr>
    </w:p>
  </w:footnote>
  <w:footnote w:id="12">
    <w:p w:rsidR="00252E0E" w:rsidRPr="00252E0E" w:rsidRDefault="00252E0E" w:rsidP="00CC3B40">
      <w:pPr>
        <w:pStyle w:val="FootnoteText"/>
        <w:ind w:left="-425"/>
        <w:rPr>
          <w:rFonts w:asciiTheme="minorHAnsi" w:hAnsiTheme="minorHAnsi"/>
          <w:sz w:val="16"/>
          <w:szCs w:val="16"/>
        </w:rPr>
      </w:pPr>
      <w:r w:rsidRPr="00252E0E">
        <w:rPr>
          <w:rFonts w:asciiTheme="minorHAnsi" w:hAnsiTheme="minorHAnsi"/>
          <w:sz w:val="16"/>
          <w:szCs w:val="16"/>
        </w:rPr>
        <w:footnoteRef/>
      </w:r>
      <w:r w:rsidRPr="00252E0E">
        <w:rPr>
          <w:rFonts w:asciiTheme="minorHAnsi" w:hAnsiTheme="minorHAnsi"/>
          <w:sz w:val="16"/>
          <w:szCs w:val="16"/>
        </w:rPr>
        <w:t xml:space="preserve"> </w:t>
      </w:r>
      <w:r w:rsidR="004D7BEF">
        <w:rPr>
          <w:rFonts w:asciiTheme="minorHAnsi" w:hAnsiTheme="minorHAnsi"/>
          <w:sz w:val="16"/>
          <w:szCs w:val="16"/>
        </w:rPr>
        <w:t xml:space="preserve"> </w:t>
      </w:r>
      <w:r w:rsidRPr="00252E0E">
        <w:rPr>
          <w:rFonts w:asciiTheme="minorHAnsi" w:hAnsiTheme="minorHAnsi"/>
          <w:sz w:val="16"/>
          <w:szCs w:val="16"/>
        </w:rPr>
        <w:t>CABE. (2009). Future Health: Sustainable places for health and well-being</w:t>
      </w:r>
    </w:p>
    <w:p w:rsidR="00252E0E" w:rsidRPr="004D7BEF" w:rsidRDefault="00252E0E" w:rsidP="00252E0E">
      <w:pPr>
        <w:pStyle w:val="FootnoteText"/>
        <w:rPr>
          <w:rFonts w:asciiTheme="minorHAnsi" w:hAnsiTheme="minorHAnsi"/>
          <w:sz w:val="8"/>
          <w:szCs w:val="8"/>
        </w:rPr>
      </w:pPr>
    </w:p>
  </w:footnote>
  <w:footnote w:id="13">
    <w:p w:rsidR="00252E0E" w:rsidRPr="00252E0E" w:rsidRDefault="00252E0E" w:rsidP="004D7BEF">
      <w:pPr>
        <w:pStyle w:val="FootnoteText"/>
        <w:ind w:left="-426"/>
        <w:rPr>
          <w:rFonts w:asciiTheme="minorHAnsi" w:hAnsiTheme="minorHAnsi"/>
          <w:sz w:val="16"/>
          <w:szCs w:val="16"/>
        </w:rPr>
      </w:pPr>
      <w:r w:rsidRPr="00252E0E">
        <w:rPr>
          <w:rFonts w:asciiTheme="minorHAnsi" w:hAnsiTheme="minorHAnsi"/>
          <w:sz w:val="16"/>
          <w:szCs w:val="16"/>
        </w:rPr>
        <w:footnoteRef/>
      </w:r>
      <w:r w:rsidR="004D7BEF">
        <w:rPr>
          <w:rFonts w:asciiTheme="minorHAnsi" w:hAnsiTheme="minorHAnsi"/>
          <w:sz w:val="16"/>
          <w:szCs w:val="16"/>
        </w:rPr>
        <w:t xml:space="preserve"> </w:t>
      </w:r>
      <w:r w:rsidRPr="00252E0E">
        <w:rPr>
          <w:rFonts w:asciiTheme="minorHAnsi" w:hAnsiTheme="minorHAnsi"/>
          <w:sz w:val="16"/>
          <w:szCs w:val="16"/>
        </w:rPr>
        <w:t xml:space="preserve"> Mind. (2007). Get outdoors, get active: </w:t>
      </w:r>
      <w:proofErr w:type="spellStart"/>
      <w:r w:rsidRPr="00252E0E">
        <w:rPr>
          <w:rFonts w:asciiTheme="minorHAnsi" w:hAnsiTheme="minorHAnsi"/>
          <w:sz w:val="16"/>
          <w:szCs w:val="16"/>
        </w:rPr>
        <w:t>Openmind</w:t>
      </w:r>
      <w:proofErr w:type="spellEnd"/>
      <w:r w:rsidRPr="00252E0E">
        <w:rPr>
          <w:rFonts w:asciiTheme="minorHAnsi" w:hAnsiTheme="minorHAnsi"/>
          <w:sz w:val="16"/>
          <w:szCs w:val="16"/>
        </w:rPr>
        <w:t xml:space="preserve"> Issue 145, May/June 2007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63" w:type="dxa"/>
      <w:tblLook w:val="0000" w:firstRow="0" w:lastRow="0" w:firstColumn="0" w:lastColumn="0" w:noHBand="0" w:noVBand="0"/>
    </w:tblPr>
    <w:tblGrid>
      <w:gridCol w:w="9572"/>
      <w:gridCol w:w="3591"/>
    </w:tblGrid>
    <w:tr w:rsidR="009A4683" w:rsidTr="00E449A4">
      <w:tc>
        <w:tcPr>
          <w:tcW w:w="8897" w:type="dxa"/>
        </w:tcPr>
        <w:tbl>
          <w:tblPr>
            <w:tblW w:w="9356" w:type="dxa"/>
            <w:tblLook w:val="0000" w:firstRow="0" w:lastRow="0" w:firstColumn="0" w:lastColumn="0" w:noHBand="0" w:noVBand="0"/>
          </w:tblPr>
          <w:tblGrid>
            <w:gridCol w:w="4319"/>
            <w:gridCol w:w="5037"/>
          </w:tblGrid>
          <w:tr w:rsidR="009A4683" w:rsidTr="00CC3B40">
            <w:tc>
              <w:tcPr>
                <w:tcW w:w="4319" w:type="dxa"/>
              </w:tcPr>
              <w:p w:rsidR="00CC3B40" w:rsidRDefault="009A4683" w:rsidP="009264FA">
                <w:pPr>
                  <w:pStyle w:val="Header"/>
                  <w:rPr>
                    <w:rFonts w:cs="Arial"/>
                    <w:sz w:val="22"/>
                  </w:rPr>
                </w:pPr>
                <w:r>
                  <w:rPr>
                    <w:rFonts w:cs="Arial"/>
                    <w:noProof/>
                    <w:sz w:val="22"/>
                    <w:lang w:eastAsia="en-GB"/>
                  </w:rPr>
                  <w:drawing>
                    <wp:inline distT="0" distB="0" distL="0" distR="0">
                      <wp:extent cx="990600" cy="908050"/>
                      <wp:effectExtent l="19050" t="0" r="0" b="0"/>
                      <wp:docPr id="2" name="Picture 2" descr="lpgsf_colou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pgsf_colou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908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A4683" w:rsidRPr="00CC3B40" w:rsidRDefault="009A4683" w:rsidP="009264FA">
                <w:pPr>
                  <w:pStyle w:val="Header"/>
                  <w:rPr>
                    <w:rFonts w:cs="Arial"/>
                    <w:sz w:val="22"/>
                  </w:rPr>
                </w:pPr>
                <w:r w:rsidRPr="00A97A6B">
                  <w:rPr>
                    <w:rFonts w:ascii="Calibri" w:hAnsi="Calibri" w:cs="Arial"/>
                    <w:b/>
                    <w:sz w:val="22"/>
                  </w:rPr>
                  <w:t>Charity number 1156063</w:t>
                </w:r>
              </w:p>
            </w:tc>
            <w:tc>
              <w:tcPr>
                <w:tcW w:w="5037" w:type="dxa"/>
              </w:tcPr>
              <w:p w:rsidR="009A4683" w:rsidRDefault="009A4683" w:rsidP="009264FA">
                <w:pPr>
                  <w:jc w:val="right"/>
                  <w:rPr>
                    <w:rFonts w:ascii="Antique Olive" w:hAnsi="Antique Olive"/>
                    <w:b/>
                    <w:bCs/>
                    <w:color w:val="008000"/>
                    <w:sz w:val="28"/>
                  </w:rPr>
                </w:pPr>
                <w:r>
                  <w:rPr>
                    <w:rFonts w:ascii="Antique Olive" w:hAnsi="Antique Olive"/>
                    <w:b/>
                    <w:bCs/>
                    <w:color w:val="008000"/>
                    <w:sz w:val="28"/>
                  </w:rPr>
                  <w:t>London Parks and</w:t>
                </w:r>
              </w:p>
              <w:p w:rsidR="009A4683" w:rsidRDefault="009A4683" w:rsidP="009264FA">
                <w:pPr>
                  <w:pStyle w:val="Heading1"/>
                  <w:jc w:val="right"/>
                  <w:rPr>
                    <w:color w:val="008000"/>
                  </w:rPr>
                </w:pPr>
                <w:r>
                  <w:rPr>
                    <w:color w:val="008000"/>
                  </w:rPr>
                  <w:t>Green Spaces Forum</w:t>
                </w:r>
              </w:p>
              <w:p w:rsidR="009A4683" w:rsidRPr="00013BB5" w:rsidRDefault="009A4683" w:rsidP="009264FA">
                <w:pPr>
                  <w:jc w:val="right"/>
                  <w:rPr>
                    <w:rFonts w:ascii="Akzidenz-Grotesk BQ" w:hAnsi="Akzidenz-Grotesk BQ"/>
                    <w:sz w:val="18"/>
                  </w:rPr>
                </w:pPr>
                <w:r w:rsidRPr="00013BB5">
                  <w:rPr>
                    <w:rFonts w:ascii="Akzidenz-Grotesk BQ" w:hAnsi="Akzidenz-Grotesk BQ"/>
                    <w:sz w:val="18"/>
                  </w:rPr>
                  <w:t>Pp 18 City Hall</w:t>
                </w:r>
              </w:p>
              <w:p w:rsidR="009A4683" w:rsidRPr="00013BB5" w:rsidRDefault="009A4683" w:rsidP="009264FA">
                <w:pPr>
                  <w:jc w:val="right"/>
                  <w:rPr>
                    <w:rFonts w:ascii="Akzidenz-Grotesk BQ" w:hAnsi="Akzidenz-Grotesk BQ"/>
                    <w:sz w:val="18"/>
                  </w:rPr>
                </w:pPr>
                <w:r w:rsidRPr="00013BB5">
                  <w:rPr>
                    <w:rFonts w:ascii="Akzidenz-Grotesk BQ" w:hAnsi="Akzidenz-Grotesk BQ"/>
                    <w:sz w:val="18"/>
                  </w:rPr>
                  <w:t>The Queen's Walk</w:t>
                </w:r>
              </w:p>
              <w:p w:rsidR="009A4683" w:rsidRPr="00013BB5" w:rsidRDefault="006A55F4" w:rsidP="006A55F4">
                <w:pPr>
                  <w:jc w:val="center"/>
                  <w:rPr>
                    <w:rFonts w:ascii="Akzidenz-Grotesk BQ" w:hAnsi="Akzidenz-Grotesk BQ"/>
                    <w:sz w:val="18"/>
                  </w:rPr>
                </w:pPr>
                <w:r>
                  <w:rPr>
                    <w:rFonts w:ascii="Akzidenz-Grotesk BQ" w:hAnsi="Akzidenz-Grotesk BQ"/>
                    <w:sz w:val="18"/>
                  </w:rPr>
                  <w:t xml:space="preserve">                                                              </w:t>
                </w:r>
                <w:r w:rsidR="009A4683" w:rsidRPr="00013BB5">
                  <w:rPr>
                    <w:rFonts w:ascii="Akzidenz-Grotesk BQ" w:hAnsi="Akzidenz-Grotesk BQ"/>
                    <w:sz w:val="18"/>
                  </w:rPr>
                  <w:t>London</w:t>
                </w:r>
                <w:r>
                  <w:rPr>
                    <w:rFonts w:ascii="Akzidenz-Grotesk BQ" w:hAnsi="Akzidenz-Grotesk BQ"/>
                    <w:sz w:val="18"/>
                  </w:rPr>
                  <w:t xml:space="preserve">, </w:t>
                </w:r>
                <w:r w:rsidR="009A4683" w:rsidRPr="00013BB5">
                  <w:rPr>
                    <w:rFonts w:ascii="Akzidenz-Grotesk BQ" w:hAnsi="Akzidenz-Grotesk BQ"/>
                    <w:sz w:val="18"/>
                  </w:rPr>
                  <w:t>SE1 2AA</w:t>
                </w:r>
              </w:p>
              <w:p w:rsidR="009A4683" w:rsidRPr="00013BB5" w:rsidRDefault="009A4683" w:rsidP="009264FA">
                <w:pPr>
                  <w:jc w:val="right"/>
                  <w:rPr>
                    <w:rFonts w:ascii="Akzidenz-Grotesk BQ" w:hAnsi="Akzidenz-Grotesk BQ"/>
                    <w:sz w:val="18"/>
                  </w:rPr>
                </w:pPr>
                <w:r w:rsidRPr="00013BB5">
                  <w:rPr>
                    <w:rFonts w:ascii="Akzidenz-Grotesk BQ" w:hAnsi="Akzidenz-Grotesk BQ"/>
                    <w:sz w:val="18"/>
                  </w:rPr>
                  <w:t>T: 020 7983 4495</w:t>
                </w:r>
              </w:p>
              <w:p w:rsidR="009A4683" w:rsidRPr="006A55F4" w:rsidRDefault="009A4683" w:rsidP="006A55F4">
                <w:pPr>
                  <w:jc w:val="right"/>
                  <w:rPr>
                    <w:rFonts w:ascii="Akzidenz-Grotesk BQ" w:hAnsi="Akzidenz-Grotesk BQ"/>
                    <w:sz w:val="18"/>
                  </w:rPr>
                </w:pPr>
                <w:r w:rsidRPr="00013BB5">
                  <w:rPr>
                    <w:rFonts w:ascii="Akzidenz-Grotesk BQ" w:hAnsi="Akzidenz-Grotesk BQ"/>
                    <w:sz w:val="18"/>
                  </w:rPr>
                  <w:t>tony.leach@london.gov.uk</w:t>
                </w:r>
              </w:p>
            </w:tc>
          </w:tr>
        </w:tbl>
        <w:p w:rsidR="009A4683" w:rsidRDefault="009A4683" w:rsidP="00E449A4">
          <w:pPr>
            <w:pStyle w:val="Header"/>
            <w:tabs>
              <w:tab w:val="clear" w:pos="4153"/>
              <w:tab w:val="clear" w:pos="8306"/>
            </w:tabs>
            <w:rPr>
              <w:sz w:val="20"/>
            </w:rPr>
          </w:pPr>
        </w:p>
      </w:tc>
      <w:tc>
        <w:tcPr>
          <w:tcW w:w="4266" w:type="dxa"/>
        </w:tcPr>
        <w:p w:rsidR="009A4683" w:rsidRDefault="009A4683">
          <w:pPr>
            <w:pStyle w:val="Header"/>
            <w:rPr>
              <w:sz w:val="20"/>
            </w:rPr>
          </w:pPr>
        </w:p>
      </w:tc>
    </w:tr>
  </w:tbl>
  <w:p w:rsidR="009A4683" w:rsidRPr="00CC3B40" w:rsidRDefault="009A468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.75pt;height:5.25pt" o:bullet="t">
        <v:imagedata r:id="rId1" o:title="bullet"/>
      </v:shape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abstractNum w:abstractNumId="0" w15:restartNumberingAfterBreak="0">
    <w:nsid w:val="044E4218"/>
    <w:multiLevelType w:val="hybridMultilevel"/>
    <w:tmpl w:val="A49EDF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55108"/>
    <w:multiLevelType w:val="multilevel"/>
    <w:tmpl w:val="C82A9D3E"/>
    <w:lvl w:ilvl="0">
      <w:start w:val="7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2238"/>
    <w:multiLevelType w:val="hybridMultilevel"/>
    <w:tmpl w:val="FABC9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E56D7"/>
    <w:multiLevelType w:val="hybridMultilevel"/>
    <w:tmpl w:val="7AEAE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E5F1B"/>
    <w:multiLevelType w:val="hybridMultilevel"/>
    <w:tmpl w:val="C82A9D3E"/>
    <w:lvl w:ilvl="0" w:tplc="4EB26EBE">
      <w:start w:val="7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D4E5D"/>
    <w:multiLevelType w:val="hybridMultilevel"/>
    <w:tmpl w:val="1DE0A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20B23"/>
    <w:multiLevelType w:val="hybridMultilevel"/>
    <w:tmpl w:val="D0EA5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1440D"/>
    <w:multiLevelType w:val="hybridMultilevel"/>
    <w:tmpl w:val="C2F2665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64"/>
    <w:rsid w:val="00013BB5"/>
    <w:rsid w:val="00016E56"/>
    <w:rsid w:val="00021ACC"/>
    <w:rsid w:val="00050741"/>
    <w:rsid w:val="0005256E"/>
    <w:rsid w:val="0007518A"/>
    <w:rsid w:val="00087ABF"/>
    <w:rsid w:val="000B2FDD"/>
    <w:rsid w:val="000D6848"/>
    <w:rsid w:val="000F2CDA"/>
    <w:rsid w:val="00112185"/>
    <w:rsid w:val="00114376"/>
    <w:rsid w:val="00127A23"/>
    <w:rsid w:val="00135529"/>
    <w:rsid w:val="00142532"/>
    <w:rsid w:val="001C6443"/>
    <w:rsid w:val="001F2536"/>
    <w:rsid w:val="00200638"/>
    <w:rsid w:val="00206C2D"/>
    <w:rsid w:val="002145AE"/>
    <w:rsid w:val="00220EE2"/>
    <w:rsid w:val="0023382C"/>
    <w:rsid w:val="00241576"/>
    <w:rsid w:val="002454FE"/>
    <w:rsid w:val="00252E0E"/>
    <w:rsid w:val="00260CFF"/>
    <w:rsid w:val="00265858"/>
    <w:rsid w:val="00291958"/>
    <w:rsid w:val="002C6703"/>
    <w:rsid w:val="002D6564"/>
    <w:rsid w:val="00306549"/>
    <w:rsid w:val="003132E5"/>
    <w:rsid w:val="00320FCB"/>
    <w:rsid w:val="00346C88"/>
    <w:rsid w:val="0036661B"/>
    <w:rsid w:val="003711EA"/>
    <w:rsid w:val="003B004B"/>
    <w:rsid w:val="003B23E1"/>
    <w:rsid w:val="00401876"/>
    <w:rsid w:val="00436E78"/>
    <w:rsid w:val="00491D5F"/>
    <w:rsid w:val="004D50D1"/>
    <w:rsid w:val="004D7BEF"/>
    <w:rsid w:val="00504B0B"/>
    <w:rsid w:val="00553B09"/>
    <w:rsid w:val="00576672"/>
    <w:rsid w:val="00576E23"/>
    <w:rsid w:val="00586F28"/>
    <w:rsid w:val="005D76EB"/>
    <w:rsid w:val="005F6AEA"/>
    <w:rsid w:val="005F7C1C"/>
    <w:rsid w:val="00616039"/>
    <w:rsid w:val="00632907"/>
    <w:rsid w:val="00656090"/>
    <w:rsid w:val="006570F9"/>
    <w:rsid w:val="00663065"/>
    <w:rsid w:val="00670666"/>
    <w:rsid w:val="00695B74"/>
    <w:rsid w:val="006A55F4"/>
    <w:rsid w:val="006F206A"/>
    <w:rsid w:val="006F7043"/>
    <w:rsid w:val="007052F7"/>
    <w:rsid w:val="00714398"/>
    <w:rsid w:val="00764F18"/>
    <w:rsid w:val="007A2877"/>
    <w:rsid w:val="007A5B8D"/>
    <w:rsid w:val="007B44B7"/>
    <w:rsid w:val="007F7B76"/>
    <w:rsid w:val="008145E5"/>
    <w:rsid w:val="008250B8"/>
    <w:rsid w:val="00836EFA"/>
    <w:rsid w:val="0084692F"/>
    <w:rsid w:val="00855D9E"/>
    <w:rsid w:val="008861FB"/>
    <w:rsid w:val="0089296D"/>
    <w:rsid w:val="008A0F2B"/>
    <w:rsid w:val="008B5869"/>
    <w:rsid w:val="008D4BC7"/>
    <w:rsid w:val="008E0D48"/>
    <w:rsid w:val="008E18D9"/>
    <w:rsid w:val="008E4B85"/>
    <w:rsid w:val="008F3F82"/>
    <w:rsid w:val="00907A34"/>
    <w:rsid w:val="009103AF"/>
    <w:rsid w:val="00923DAA"/>
    <w:rsid w:val="009264FA"/>
    <w:rsid w:val="0094542A"/>
    <w:rsid w:val="00950C29"/>
    <w:rsid w:val="00973687"/>
    <w:rsid w:val="009845F0"/>
    <w:rsid w:val="009A2A49"/>
    <w:rsid w:val="009A4683"/>
    <w:rsid w:val="009A665A"/>
    <w:rsid w:val="00A467BE"/>
    <w:rsid w:val="00A97A6B"/>
    <w:rsid w:val="00AA4FBA"/>
    <w:rsid w:val="00AB2D5E"/>
    <w:rsid w:val="00AB437F"/>
    <w:rsid w:val="00AE4484"/>
    <w:rsid w:val="00AE6171"/>
    <w:rsid w:val="00AF241E"/>
    <w:rsid w:val="00B21B96"/>
    <w:rsid w:val="00B21C7E"/>
    <w:rsid w:val="00B42450"/>
    <w:rsid w:val="00B44C3A"/>
    <w:rsid w:val="00B57203"/>
    <w:rsid w:val="00B64FFD"/>
    <w:rsid w:val="00B735AC"/>
    <w:rsid w:val="00BC49FD"/>
    <w:rsid w:val="00BC5E1C"/>
    <w:rsid w:val="00C06420"/>
    <w:rsid w:val="00C45A8F"/>
    <w:rsid w:val="00C55A49"/>
    <w:rsid w:val="00C56C85"/>
    <w:rsid w:val="00C679C9"/>
    <w:rsid w:val="00C912A4"/>
    <w:rsid w:val="00CC3B40"/>
    <w:rsid w:val="00CC57C1"/>
    <w:rsid w:val="00CE0361"/>
    <w:rsid w:val="00D328A1"/>
    <w:rsid w:val="00D464CB"/>
    <w:rsid w:val="00D4677D"/>
    <w:rsid w:val="00D60FDF"/>
    <w:rsid w:val="00D83467"/>
    <w:rsid w:val="00E26E35"/>
    <w:rsid w:val="00E31945"/>
    <w:rsid w:val="00E449A4"/>
    <w:rsid w:val="00E93883"/>
    <w:rsid w:val="00EA3888"/>
    <w:rsid w:val="00EA7562"/>
    <w:rsid w:val="00EE1FA9"/>
    <w:rsid w:val="00F33603"/>
    <w:rsid w:val="00F76C1F"/>
    <w:rsid w:val="00F80282"/>
    <w:rsid w:val="00FB7554"/>
    <w:rsid w:val="00FE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837585-F71A-4A84-AA35-8DAB12FF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tique Olive" w:hAnsi="Antique Olive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kzidenz-Grotesk BQ" w:hAnsi="Akzidenz-Grotesk BQ"/>
      <w:color w:val="808080"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180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260"/>
    </w:pPr>
    <w:rPr>
      <w:i/>
      <w:iCs/>
    </w:rPr>
  </w:style>
  <w:style w:type="paragraph" w:styleId="BodyTextIndent2">
    <w:name w:val="Body Text Indent 2"/>
    <w:basedOn w:val="Normal"/>
    <w:pPr>
      <w:ind w:left="1260"/>
    </w:pPr>
  </w:style>
  <w:style w:type="paragraph" w:styleId="BodyTextIndent3">
    <w:name w:val="Body Text Indent 3"/>
    <w:basedOn w:val="Normal"/>
    <w:pPr>
      <w:ind w:left="1260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cs="Arial"/>
      <w:sz w:val="22"/>
    </w:rPr>
  </w:style>
  <w:style w:type="paragraph" w:styleId="BodyText2">
    <w:name w:val="Body Text 2"/>
    <w:basedOn w:val="Normal"/>
    <w:pPr>
      <w:jc w:val="both"/>
    </w:pPr>
    <w:rPr>
      <w:rFonts w:cs="Arial"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spacing w:line="360" w:lineRule="auto"/>
      <w:jc w:val="center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E9388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93883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A4FBA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44C3A"/>
    <w:pPr>
      <w:ind w:left="720"/>
    </w:pPr>
  </w:style>
  <w:style w:type="paragraph" w:styleId="FootnoteText">
    <w:name w:val="footnote text"/>
    <w:basedOn w:val="Normal"/>
    <w:link w:val="FootnoteTextChar"/>
    <w:rsid w:val="008E4B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4B85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8E4B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155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9195">
                          <w:marLeft w:val="0"/>
                          <w:marRight w:val="4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1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612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620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7888">
                          <w:marLeft w:val="0"/>
                          <w:marRight w:val="4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1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53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A332-7A7D-44F3-AC15-8B79D678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10th January 2006</vt:lpstr>
    </vt:vector>
  </TitlesOfParts>
  <Company>Capel Manor College</Company>
  <LinksUpToDate>false</LinksUpToDate>
  <CharactersWithSpaces>2094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http://directory.londoncouncils.gov.uk/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January 2006</dc:title>
  <dc:creator>johnson</dc:creator>
  <cp:lastModifiedBy>Marilyn Mason</cp:lastModifiedBy>
  <cp:revision>2</cp:revision>
  <cp:lastPrinted>2015-03-18T11:02:00Z</cp:lastPrinted>
  <dcterms:created xsi:type="dcterms:W3CDTF">2016-10-12T16:09:00Z</dcterms:created>
  <dcterms:modified xsi:type="dcterms:W3CDTF">2016-10-12T16:09:00Z</dcterms:modified>
</cp:coreProperties>
</file>