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6E73" w14:textId="7B23C39B" w:rsidR="00E82D24" w:rsidRPr="00EC7136" w:rsidRDefault="007A3688" w:rsidP="009123AD">
      <w:pPr>
        <w:pStyle w:val="NoSpacing"/>
        <w:jc w:val="both"/>
        <w:rPr>
          <w:b/>
          <w:bCs/>
          <w:sz w:val="24"/>
          <w:szCs w:val="24"/>
          <w:u w:val="single"/>
        </w:rPr>
      </w:pPr>
      <w:r w:rsidRPr="00EC7136">
        <w:rPr>
          <w:b/>
          <w:bCs/>
          <w:sz w:val="24"/>
          <w:szCs w:val="24"/>
          <w:u w:val="single"/>
        </w:rPr>
        <w:t>Great Waltham Parish Council</w:t>
      </w:r>
      <w:r w:rsidR="005046DF" w:rsidRPr="00EC7136">
        <w:rPr>
          <w:b/>
          <w:bCs/>
          <w:sz w:val="24"/>
          <w:szCs w:val="24"/>
          <w:u w:val="single"/>
        </w:rPr>
        <w:t xml:space="preserve"> (“GWPC”)</w:t>
      </w:r>
      <w:r w:rsidRPr="00EC7136">
        <w:rPr>
          <w:b/>
          <w:bCs/>
          <w:sz w:val="24"/>
          <w:szCs w:val="24"/>
          <w:u w:val="single"/>
        </w:rPr>
        <w:t xml:space="preserve"> – Banbury Square </w:t>
      </w:r>
      <w:r w:rsidR="00AC60E2">
        <w:rPr>
          <w:b/>
          <w:bCs/>
          <w:sz w:val="24"/>
          <w:szCs w:val="24"/>
          <w:u w:val="single"/>
        </w:rPr>
        <w:t xml:space="preserve">and War Memorials </w:t>
      </w:r>
      <w:r w:rsidRPr="00EC7136">
        <w:rPr>
          <w:b/>
          <w:bCs/>
          <w:sz w:val="24"/>
          <w:szCs w:val="24"/>
          <w:u w:val="single"/>
        </w:rPr>
        <w:t xml:space="preserve">Maintenance </w:t>
      </w:r>
      <w:r w:rsidR="00EC7136">
        <w:rPr>
          <w:b/>
          <w:bCs/>
          <w:sz w:val="24"/>
          <w:szCs w:val="24"/>
          <w:u w:val="single"/>
        </w:rPr>
        <w:t>Strategy</w:t>
      </w:r>
    </w:p>
    <w:p w14:paraId="12DD6AD2" w14:textId="018F05CF" w:rsidR="007A3688" w:rsidRPr="007A3688" w:rsidRDefault="007A3688" w:rsidP="009123AD">
      <w:pPr>
        <w:pStyle w:val="NoSpacing"/>
        <w:jc w:val="both"/>
        <w:rPr>
          <w:sz w:val="20"/>
          <w:szCs w:val="20"/>
        </w:rPr>
      </w:pPr>
    </w:p>
    <w:p w14:paraId="4064674F" w14:textId="413C9CA8" w:rsidR="00EC7136" w:rsidRDefault="00EC7136" w:rsidP="00EC7136">
      <w:pPr>
        <w:pStyle w:val="NoSpacing"/>
        <w:jc w:val="both"/>
      </w:pPr>
    </w:p>
    <w:p w14:paraId="4D52A083" w14:textId="77777777" w:rsidR="00C50FE2" w:rsidRDefault="00C50FE2" w:rsidP="00EC7136">
      <w:pPr>
        <w:pStyle w:val="NoSpacing"/>
        <w:jc w:val="both"/>
      </w:pPr>
    </w:p>
    <w:p w14:paraId="745BE889" w14:textId="753A986D" w:rsidR="00A5544B" w:rsidRPr="00EC7136" w:rsidRDefault="00A5544B" w:rsidP="009123AD">
      <w:pPr>
        <w:pStyle w:val="NoSpacing"/>
        <w:numPr>
          <w:ilvl w:val="0"/>
          <w:numId w:val="1"/>
        </w:numPr>
        <w:ind w:left="0"/>
        <w:jc w:val="both"/>
      </w:pPr>
      <w:r w:rsidRPr="00EC7136">
        <w:t xml:space="preserve">The </w:t>
      </w:r>
      <w:r w:rsidR="00EC7136">
        <w:t xml:space="preserve">strategic </w:t>
      </w:r>
      <w:r w:rsidRPr="00EC7136">
        <w:t xml:space="preserve">approach </w:t>
      </w:r>
      <w:r w:rsidR="00EC7136">
        <w:t xml:space="preserve">detailed </w:t>
      </w:r>
      <w:r w:rsidRPr="00EC7136">
        <w:t>in this document ensures that the area of Banbury Square</w:t>
      </w:r>
      <w:r w:rsidR="00AC60E2">
        <w:t xml:space="preserve">, Great Waltham and its war memorial and the war memorial at Ford End </w:t>
      </w:r>
      <w:r w:rsidRPr="00EC7136">
        <w:t xml:space="preserve">for which GWPC has responsibilities remain subject to </w:t>
      </w:r>
      <w:r w:rsidR="0062235E" w:rsidRPr="00EC7136">
        <w:t>a</w:t>
      </w:r>
      <w:r w:rsidR="009123AD" w:rsidRPr="00EC7136">
        <w:t xml:space="preserve"> holistic </w:t>
      </w:r>
      <w:r w:rsidRPr="00EC7136">
        <w:t xml:space="preserve">regime of upkeep and maintenance, both routine and exceptional, as necessary to preserve </w:t>
      </w:r>
      <w:r w:rsidR="00AC60E2">
        <w:t>their</w:t>
      </w:r>
      <w:r w:rsidRPr="00EC7136">
        <w:t xml:space="preserve"> existing qualities and character.  </w:t>
      </w:r>
    </w:p>
    <w:p w14:paraId="04F4B766" w14:textId="77777777" w:rsidR="00A5544B" w:rsidRPr="00EC7136" w:rsidRDefault="00A5544B" w:rsidP="009123AD">
      <w:pPr>
        <w:pStyle w:val="NoSpacing"/>
        <w:jc w:val="both"/>
      </w:pPr>
    </w:p>
    <w:p w14:paraId="66DE97FC" w14:textId="0EE2471D" w:rsidR="007A3688" w:rsidRPr="001F10E8" w:rsidRDefault="007A3688" w:rsidP="009123AD">
      <w:pPr>
        <w:pStyle w:val="NoSpacing"/>
        <w:jc w:val="both"/>
        <w:rPr>
          <w:b/>
          <w:bCs/>
          <w:u w:val="single"/>
        </w:rPr>
      </w:pPr>
      <w:r w:rsidRPr="001F10E8">
        <w:rPr>
          <w:b/>
          <w:bCs/>
          <w:u w:val="single"/>
        </w:rPr>
        <w:t>Background</w:t>
      </w:r>
    </w:p>
    <w:p w14:paraId="3F6F0C6E" w14:textId="71888262" w:rsidR="007A3688" w:rsidRPr="00EC7136" w:rsidRDefault="007A3688" w:rsidP="009123AD">
      <w:pPr>
        <w:pStyle w:val="NoSpacing"/>
        <w:jc w:val="both"/>
      </w:pPr>
    </w:p>
    <w:p w14:paraId="2D32B5C0" w14:textId="6C280B42" w:rsidR="007A3688" w:rsidRDefault="00A5544B" w:rsidP="009123AD">
      <w:pPr>
        <w:pStyle w:val="NoSpacing"/>
        <w:numPr>
          <w:ilvl w:val="0"/>
          <w:numId w:val="1"/>
        </w:numPr>
        <w:ind w:left="0"/>
        <w:jc w:val="both"/>
      </w:pPr>
      <w:r w:rsidRPr="00EC7136">
        <w:t xml:space="preserve">In 2022 GWPC acknowledged the deteriorating condition of the war memorial at Banbury Square and engaged with the War Memorial Trust </w:t>
      </w:r>
      <w:r w:rsidR="009123AD" w:rsidRPr="00EC7136">
        <w:t xml:space="preserve">(WMT) </w:t>
      </w:r>
      <w:r w:rsidRPr="00EC7136">
        <w:t>with a view to effecting approved renovations</w:t>
      </w:r>
      <w:r w:rsidR="009123AD" w:rsidRPr="00EC7136">
        <w:t xml:space="preserve">, </w:t>
      </w:r>
      <w:r w:rsidRPr="00EC7136">
        <w:t>in particular to the lettering of inscriptions and names</w:t>
      </w:r>
      <w:r w:rsidR="001E6A62" w:rsidRPr="00EC7136">
        <w:t xml:space="preserve">.  In 2023 it resolved to </w:t>
      </w:r>
      <w:r w:rsidR="00F53688">
        <w:t xml:space="preserve">also </w:t>
      </w:r>
      <w:r w:rsidR="001E6A62" w:rsidRPr="00EC7136">
        <w:t>develop a strateg</w:t>
      </w:r>
      <w:r w:rsidR="00EC7136">
        <w:t>y</w:t>
      </w:r>
      <w:r w:rsidR="001E6A62" w:rsidRPr="00EC7136">
        <w:t xml:space="preserve"> for the upkeep of the wooden posts which form the boundary of the enclosed area around the memorial.  This document embraces </w:t>
      </w:r>
      <w:r w:rsidR="001F10E8">
        <w:t xml:space="preserve">not only consideration of those specific issues, but also </w:t>
      </w:r>
      <w:r w:rsidR="001E6A62" w:rsidRPr="00EC7136">
        <w:t xml:space="preserve">the </w:t>
      </w:r>
      <w:r w:rsidR="00F53688">
        <w:t xml:space="preserve">overall </w:t>
      </w:r>
      <w:r w:rsidR="001E6A62" w:rsidRPr="00EC7136">
        <w:t xml:space="preserve">upkeep and maintenance of </w:t>
      </w:r>
      <w:r w:rsidR="00F53688">
        <w:t>these assets.</w:t>
      </w:r>
    </w:p>
    <w:p w14:paraId="31CA1951" w14:textId="77777777" w:rsidR="00AC60E2" w:rsidRDefault="00AC60E2" w:rsidP="00AC60E2">
      <w:pPr>
        <w:pStyle w:val="NoSpacing"/>
        <w:jc w:val="both"/>
      </w:pPr>
    </w:p>
    <w:p w14:paraId="02F5D6E2" w14:textId="67F5742A" w:rsidR="00AC60E2" w:rsidRPr="00EC7136" w:rsidRDefault="00AC60E2" w:rsidP="009123AD">
      <w:pPr>
        <w:pStyle w:val="NoSpacing"/>
        <w:numPr>
          <w:ilvl w:val="0"/>
          <w:numId w:val="1"/>
        </w:numPr>
        <w:ind w:left="0"/>
        <w:jc w:val="both"/>
      </w:pPr>
      <w:r>
        <w:t xml:space="preserve">GWPC owns the </w:t>
      </w:r>
      <w:r w:rsidR="00F53688">
        <w:t xml:space="preserve">central, grassed area at </w:t>
      </w:r>
      <w:r w:rsidR="001F10E8">
        <w:t xml:space="preserve">Banbury Square, Great Waltham (including its war memorial) and the </w:t>
      </w:r>
      <w:r>
        <w:t xml:space="preserve">war memorial located in the grounds of the </w:t>
      </w:r>
      <w:bookmarkStart w:id="0" w:name="_Hlk130544121"/>
      <w:r>
        <w:t xml:space="preserve">Church of </w:t>
      </w:r>
      <w:r w:rsidRPr="00AC60E2">
        <w:t>St John the Evangelist</w:t>
      </w:r>
      <w:r>
        <w:t>, Ford End</w:t>
      </w:r>
      <w:bookmarkEnd w:id="0"/>
      <w:r>
        <w:t>.</w:t>
      </w:r>
      <w:r w:rsidR="00F53688">
        <w:t xml:space="preserve">  The grassed area and the two war memorials have separate entries on GWPC’s current asset register and are insured under its insurance policy</w:t>
      </w:r>
      <w:r w:rsidR="00F53688" w:rsidRPr="00EC7136">
        <w:rPr>
          <w:rStyle w:val="FootnoteReference"/>
        </w:rPr>
        <w:footnoteReference w:id="1"/>
      </w:r>
      <w:r w:rsidR="00F53688">
        <w:t>.</w:t>
      </w:r>
    </w:p>
    <w:p w14:paraId="3591644E" w14:textId="77777777" w:rsidR="00A5544B" w:rsidRPr="00EC7136" w:rsidRDefault="00A5544B" w:rsidP="009123AD">
      <w:pPr>
        <w:pStyle w:val="NoSpacing"/>
        <w:jc w:val="both"/>
      </w:pPr>
    </w:p>
    <w:p w14:paraId="19FD8431" w14:textId="3F8C64FF" w:rsidR="007A3688" w:rsidRPr="001F10E8" w:rsidRDefault="007A3688" w:rsidP="009123AD">
      <w:pPr>
        <w:pStyle w:val="NoSpacing"/>
        <w:jc w:val="both"/>
        <w:rPr>
          <w:b/>
          <w:bCs/>
          <w:u w:val="single"/>
        </w:rPr>
      </w:pPr>
      <w:r w:rsidRPr="001F10E8">
        <w:rPr>
          <w:b/>
          <w:bCs/>
          <w:u w:val="single"/>
        </w:rPr>
        <w:t>War Memorial</w:t>
      </w:r>
      <w:r w:rsidR="00AC60E2" w:rsidRPr="001F10E8">
        <w:rPr>
          <w:b/>
          <w:bCs/>
          <w:u w:val="single"/>
        </w:rPr>
        <w:t>s</w:t>
      </w:r>
    </w:p>
    <w:p w14:paraId="080B67ED" w14:textId="389EA80B" w:rsidR="00AC60E2" w:rsidRDefault="00AC60E2" w:rsidP="009123AD">
      <w:pPr>
        <w:pStyle w:val="NoSpacing"/>
        <w:jc w:val="both"/>
        <w:rPr>
          <w:u w:val="single"/>
        </w:rPr>
      </w:pPr>
    </w:p>
    <w:p w14:paraId="34351F46" w14:textId="2D4F443F" w:rsidR="00AC60E2" w:rsidRDefault="00AC60E2" w:rsidP="009123AD">
      <w:pPr>
        <w:pStyle w:val="NoSpacing"/>
        <w:numPr>
          <w:ilvl w:val="0"/>
          <w:numId w:val="1"/>
        </w:numPr>
        <w:ind w:left="0"/>
        <w:jc w:val="both"/>
      </w:pPr>
      <w:r w:rsidRPr="001F10E8">
        <w:rPr>
          <w:u w:val="single"/>
        </w:rPr>
        <w:t>Banbury Square, Great Waltham</w:t>
      </w:r>
    </w:p>
    <w:p w14:paraId="19E14663" w14:textId="47C41C0C" w:rsidR="00AC60E2" w:rsidRDefault="00AC60E2" w:rsidP="00AC60E2">
      <w:pPr>
        <w:pStyle w:val="NoSpacing"/>
        <w:jc w:val="both"/>
      </w:pPr>
    </w:p>
    <w:p w14:paraId="1B019FDE" w14:textId="4974CF0D" w:rsidR="00AC60E2" w:rsidRDefault="001F10E8" w:rsidP="001F10E8">
      <w:pPr>
        <w:pStyle w:val="NoSpacing"/>
        <w:numPr>
          <w:ilvl w:val="1"/>
          <w:numId w:val="1"/>
        </w:numPr>
        <w:ind w:left="426"/>
        <w:jc w:val="both"/>
      </w:pPr>
      <w:r>
        <w:rPr>
          <w:noProof/>
        </w:rPr>
        <w:drawing>
          <wp:anchor distT="0" distB="0" distL="114300" distR="114300" simplePos="0" relativeHeight="251658240" behindDoc="1" locked="0" layoutInCell="1" allowOverlap="1" wp14:anchorId="683D3559" wp14:editId="1417FD12">
            <wp:simplePos x="0" y="0"/>
            <wp:positionH relativeFrom="column">
              <wp:posOffset>3261995</wp:posOffset>
            </wp:positionH>
            <wp:positionV relativeFrom="paragraph">
              <wp:posOffset>6350</wp:posOffset>
            </wp:positionV>
            <wp:extent cx="2469515" cy="1799590"/>
            <wp:effectExtent l="0" t="0" r="6985" b="0"/>
            <wp:wrapTight wrapText="bothSides">
              <wp:wrapPolygon edited="0">
                <wp:start x="0" y="0"/>
                <wp:lineTo x="0" y="21265"/>
                <wp:lineTo x="21494" y="21265"/>
                <wp:lineTo x="21494" y="0"/>
                <wp:lineTo x="0" y="0"/>
              </wp:wrapPolygon>
            </wp:wrapTight>
            <wp:docPr id="404898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15" cy="1799590"/>
                    </a:xfrm>
                    <a:prstGeom prst="rect">
                      <a:avLst/>
                    </a:prstGeom>
                    <a:noFill/>
                  </pic:spPr>
                </pic:pic>
              </a:graphicData>
            </a:graphic>
            <wp14:sizeRelH relativeFrom="page">
              <wp14:pctWidth>0</wp14:pctWidth>
            </wp14:sizeRelH>
            <wp14:sizeRelV relativeFrom="page">
              <wp14:pctHeight>0</wp14:pctHeight>
            </wp14:sizeRelV>
          </wp:anchor>
        </w:drawing>
      </w:r>
      <w:r w:rsidR="00FA3CCB" w:rsidRPr="00EC7136">
        <w:t>‘</w:t>
      </w:r>
      <w:r w:rsidR="00D13683" w:rsidRPr="004D3B8B">
        <w:rPr>
          <w:i/>
          <w:iCs/>
        </w:rPr>
        <w:t>The memorial is approximately 4m high, made of Portland St</w:t>
      </w:r>
      <w:r w:rsidR="00D13683" w:rsidRPr="001F10E8">
        <w:rPr>
          <w:i/>
          <w:iCs/>
        </w:rPr>
        <w:t>one and comprises a round shaft surmounted by a cross with simply carved arms. The east face of the cross has a mark from a centrally placed sword which has been removed. The base of the shaft is chamfered and moulded</w:t>
      </w:r>
      <w:r w:rsidR="00FA3CCB" w:rsidRPr="00EC7136">
        <w:t>’</w:t>
      </w:r>
      <w:r w:rsidR="00FA3CCB" w:rsidRPr="00EC7136">
        <w:rPr>
          <w:rStyle w:val="FootnoteReference"/>
        </w:rPr>
        <w:footnoteReference w:id="2"/>
      </w:r>
      <w:r w:rsidR="00D13683" w:rsidRPr="00EC7136">
        <w:t xml:space="preserve">.  It has an inscription and the names of those who died in WWI and WWII.  </w:t>
      </w:r>
    </w:p>
    <w:p w14:paraId="56152299" w14:textId="7F0D6541" w:rsidR="00AC60E2" w:rsidRDefault="00AC60E2" w:rsidP="00AC60E2">
      <w:pPr>
        <w:pStyle w:val="NoSpacing"/>
        <w:ind w:left="426"/>
        <w:jc w:val="both"/>
      </w:pPr>
    </w:p>
    <w:p w14:paraId="4130BBBB" w14:textId="77777777" w:rsidR="00AC60E2" w:rsidRDefault="00FA3CCB" w:rsidP="00AC60E2">
      <w:pPr>
        <w:pStyle w:val="NoSpacing"/>
        <w:numPr>
          <w:ilvl w:val="1"/>
          <w:numId w:val="1"/>
        </w:numPr>
        <w:ind w:left="426"/>
        <w:jc w:val="both"/>
      </w:pPr>
      <w:r w:rsidRPr="00EC7136">
        <w:t>‘</w:t>
      </w:r>
      <w:r w:rsidR="00D13683" w:rsidRPr="00AC60E2">
        <w:rPr>
          <w:i/>
          <w:iCs/>
        </w:rPr>
        <w:t>It was erected in 1920 to the design of Architect, Arthur Richard Dannatt, a son of the well known farmer, William Dannatt of Margaret Woods Farm, Great Waltham, at a cost of £200 paid for by public subscription which came  mostly from the villagers. It stands on land gifted by Colonel W N Tufnell DL to the east of the Church of St Mary and St Lawrence. It was unveiled on the 19 December 1920 by Brigadier General LCG Tufnell CB and dedicated by Rev. J.H. Morgan</w:t>
      </w:r>
      <w:r w:rsidRPr="00EC7136">
        <w:t>’</w:t>
      </w:r>
      <w:r w:rsidRPr="00EC7136">
        <w:rPr>
          <w:rStyle w:val="FootnoteReference"/>
        </w:rPr>
        <w:footnoteReference w:id="3"/>
      </w:r>
      <w:r w:rsidR="00D13683" w:rsidRPr="00EC7136">
        <w:t>.</w:t>
      </w:r>
    </w:p>
    <w:p w14:paraId="5AC281AF" w14:textId="77777777" w:rsidR="00AC60E2" w:rsidRDefault="00AC60E2" w:rsidP="00AC60E2">
      <w:pPr>
        <w:pStyle w:val="NoSpacing"/>
        <w:ind w:left="426"/>
        <w:jc w:val="both"/>
      </w:pPr>
    </w:p>
    <w:p w14:paraId="47F87BCC" w14:textId="703B977F" w:rsidR="007A3688" w:rsidRPr="00AC60E2" w:rsidRDefault="00FA3CCB" w:rsidP="00AC60E2">
      <w:pPr>
        <w:pStyle w:val="NoSpacing"/>
        <w:numPr>
          <w:ilvl w:val="1"/>
          <w:numId w:val="1"/>
        </w:numPr>
        <w:ind w:left="426"/>
        <w:jc w:val="both"/>
      </w:pPr>
      <w:r w:rsidRPr="00EC7136">
        <w:t>‘</w:t>
      </w:r>
      <w:r w:rsidR="007A3688" w:rsidRPr="00AC60E2">
        <w:rPr>
          <w:i/>
          <w:iCs/>
        </w:rPr>
        <w:t>The war memorial at Banbury Square, Great Waltham is designated at Grade II because of the following reasons –</w:t>
      </w:r>
    </w:p>
    <w:p w14:paraId="4FC0FDE1" w14:textId="77777777" w:rsidR="009123AD" w:rsidRPr="004D3B8B" w:rsidRDefault="009123AD" w:rsidP="009123AD">
      <w:pPr>
        <w:pStyle w:val="NoSpacing"/>
        <w:jc w:val="both"/>
        <w:rPr>
          <w:i/>
          <w:iCs/>
        </w:rPr>
      </w:pPr>
    </w:p>
    <w:p w14:paraId="714D9ABA" w14:textId="75E4A65E" w:rsidR="007A3688" w:rsidRDefault="007A3688" w:rsidP="009123AD">
      <w:pPr>
        <w:pStyle w:val="NoSpacing"/>
        <w:ind w:left="397" w:hanging="113"/>
        <w:jc w:val="both"/>
        <w:rPr>
          <w:i/>
          <w:iCs/>
        </w:rPr>
      </w:pPr>
      <w:r w:rsidRPr="004D3B8B">
        <w:rPr>
          <w:i/>
          <w:iCs/>
        </w:rPr>
        <w:t>* Architectural Interest: this bespoke memorial is constructed with craftsmanship from good quality materials and has design interest.</w:t>
      </w:r>
    </w:p>
    <w:p w14:paraId="5FCF49C0" w14:textId="77777777" w:rsidR="00C50FE2" w:rsidRPr="004D3B8B" w:rsidRDefault="00C50FE2" w:rsidP="009123AD">
      <w:pPr>
        <w:pStyle w:val="NoSpacing"/>
        <w:ind w:left="397" w:hanging="113"/>
        <w:jc w:val="both"/>
        <w:rPr>
          <w:i/>
          <w:iCs/>
        </w:rPr>
      </w:pPr>
    </w:p>
    <w:p w14:paraId="3E59562D" w14:textId="2E4D3047" w:rsidR="007A3688" w:rsidRDefault="007A3688" w:rsidP="009123AD">
      <w:pPr>
        <w:pStyle w:val="NoSpacing"/>
        <w:ind w:left="397" w:hanging="113"/>
        <w:jc w:val="both"/>
        <w:rPr>
          <w:i/>
          <w:iCs/>
        </w:rPr>
      </w:pPr>
      <w:r w:rsidRPr="004D3B8B">
        <w:rPr>
          <w:i/>
          <w:iCs/>
        </w:rPr>
        <w:t>* Historic Interest: it is a poignant reminder of the impact of world events on the local community and the sacrifice made for the defence of the country;</w:t>
      </w:r>
    </w:p>
    <w:p w14:paraId="6241F25A" w14:textId="77777777" w:rsidR="00C50FE2" w:rsidRPr="004D3B8B" w:rsidRDefault="00C50FE2" w:rsidP="009123AD">
      <w:pPr>
        <w:pStyle w:val="NoSpacing"/>
        <w:ind w:left="397" w:hanging="113"/>
        <w:jc w:val="both"/>
        <w:rPr>
          <w:i/>
          <w:iCs/>
        </w:rPr>
      </w:pPr>
    </w:p>
    <w:p w14:paraId="2DEF84E3" w14:textId="70B7CF14" w:rsidR="007A3688" w:rsidRPr="00EC7136" w:rsidRDefault="007A3688" w:rsidP="009123AD">
      <w:pPr>
        <w:pStyle w:val="NoSpacing"/>
        <w:ind w:left="397" w:hanging="113"/>
        <w:jc w:val="both"/>
      </w:pPr>
      <w:r w:rsidRPr="004D3B8B">
        <w:rPr>
          <w:i/>
          <w:iCs/>
        </w:rPr>
        <w:t>* Group Value: it has considerable group value with the Church of St Mary and St Lawrence (Grade I), Badynghams (also known as the Guildhall, Grade II*) and many other Grade II listed buildings around Banbury Square</w:t>
      </w:r>
      <w:r w:rsidR="00FA3CCB" w:rsidRPr="00EC7136">
        <w:t>’</w:t>
      </w:r>
      <w:r w:rsidR="00FA3CCB" w:rsidRPr="00EC7136">
        <w:rPr>
          <w:rStyle w:val="FootnoteReference"/>
        </w:rPr>
        <w:footnoteReference w:id="4"/>
      </w:r>
      <w:r w:rsidRPr="00EC7136">
        <w:t>.</w:t>
      </w:r>
    </w:p>
    <w:p w14:paraId="77FBBF8C" w14:textId="71AF4A37" w:rsidR="007A3688" w:rsidRPr="00EC7136" w:rsidRDefault="007A3688" w:rsidP="009123AD">
      <w:pPr>
        <w:pStyle w:val="NoSpacing"/>
        <w:jc w:val="both"/>
      </w:pPr>
    </w:p>
    <w:p w14:paraId="5F0C22CD" w14:textId="0B9188EA" w:rsidR="0062235E" w:rsidRDefault="009123AD" w:rsidP="00AC60E2">
      <w:pPr>
        <w:pStyle w:val="NoSpacing"/>
        <w:numPr>
          <w:ilvl w:val="1"/>
          <w:numId w:val="2"/>
        </w:numPr>
        <w:jc w:val="both"/>
      </w:pPr>
      <w:r w:rsidRPr="00EC7136">
        <w:t xml:space="preserve">Discussions </w:t>
      </w:r>
      <w:r w:rsidR="00EC7136">
        <w:t xml:space="preserve">between GWPC and </w:t>
      </w:r>
      <w:r w:rsidRPr="00EC7136">
        <w:t>the WMT have established that the Portland stone used for the memorial is more susceptible to weathering than other materials (such as the granite used for the Ford End memorial), and therefore any and all cleaning and renovation activities must be carefully considered beforehand.</w:t>
      </w:r>
    </w:p>
    <w:p w14:paraId="577A5CF3" w14:textId="676D088C" w:rsidR="00AC60E2" w:rsidRDefault="00AC60E2" w:rsidP="00AC60E2">
      <w:pPr>
        <w:pStyle w:val="NoSpacing"/>
        <w:ind w:left="360"/>
        <w:jc w:val="both"/>
      </w:pPr>
    </w:p>
    <w:p w14:paraId="6F9A3A01" w14:textId="54F9F06A" w:rsidR="00583BE1" w:rsidRDefault="008A39AD" w:rsidP="00583BE1">
      <w:pPr>
        <w:pStyle w:val="NoSpacing"/>
        <w:numPr>
          <w:ilvl w:val="0"/>
          <w:numId w:val="1"/>
        </w:numPr>
        <w:ind w:left="0"/>
        <w:jc w:val="both"/>
      </w:pPr>
      <w:r w:rsidRPr="001F10E8">
        <w:rPr>
          <w:u w:val="single"/>
        </w:rPr>
        <w:t xml:space="preserve">Grounds of </w:t>
      </w:r>
      <w:r w:rsidR="00AC60E2" w:rsidRPr="001F10E8">
        <w:rPr>
          <w:u w:val="single"/>
        </w:rPr>
        <w:t>Church of St John the Evangelist, Ford End</w:t>
      </w:r>
    </w:p>
    <w:p w14:paraId="75A9014A" w14:textId="79DB5D8F" w:rsidR="00583BE1" w:rsidRDefault="00583BE1" w:rsidP="00583BE1">
      <w:pPr>
        <w:pStyle w:val="NoSpacing"/>
        <w:ind w:left="426"/>
        <w:jc w:val="both"/>
      </w:pPr>
    </w:p>
    <w:p w14:paraId="3615A592" w14:textId="6FA12311" w:rsidR="008A39AD" w:rsidRDefault="00F53688" w:rsidP="008A39AD">
      <w:pPr>
        <w:pStyle w:val="NoSpacing"/>
        <w:numPr>
          <w:ilvl w:val="1"/>
          <w:numId w:val="1"/>
        </w:numPr>
        <w:ind w:left="426"/>
        <w:jc w:val="both"/>
      </w:pPr>
      <w:r>
        <w:rPr>
          <w:noProof/>
        </w:rPr>
        <w:drawing>
          <wp:anchor distT="0" distB="0" distL="114300" distR="114300" simplePos="0" relativeHeight="251659264" behindDoc="1" locked="0" layoutInCell="1" allowOverlap="1" wp14:anchorId="5F5E88C1" wp14:editId="68F9334A">
            <wp:simplePos x="0" y="0"/>
            <wp:positionH relativeFrom="column">
              <wp:posOffset>3934460</wp:posOffset>
            </wp:positionH>
            <wp:positionV relativeFrom="paragraph">
              <wp:posOffset>46508</wp:posOffset>
            </wp:positionV>
            <wp:extent cx="1799590" cy="2400935"/>
            <wp:effectExtent l="0" t="0" r="0" b="0"/>
            <wp:wrapTight wrapText="bothSides">
              <wp:wrapPolygon edited="0">
                <wp:start x="0" y="0"/>
                <wp:lineTo x="0" y="21423"/>
                <wp:lineTo x="21265" y="21423"/>
                <wp:lineTo x="21265" y="0"/>
                <wp:lineTo x="0" y="0"/>
              </wp:wrapPolygon>
            </wp:wrapTight>
            <wp:docPr id="121941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2400935"/>
                    </a:xfrm>
                    <a:prstGeom prst="rect">
                      <a:avLst/>
                    </a:prstGeom>
                    <a:noFill/>
                  </pic:spPr>
                </pic:pic>
              </a:graphicData>
            </a:graphic>
            <wp14:sizeRelH relativeFrom="page">
              <wp14:pctWidth>0</wp14:pctWidth>
            </wp14:sizeRelH>
            <wp14:sizeRelV relativeFrom="page">
              <wp14:pctHeight>0</wp14:pctHeight>
            </wp14:sizeRelV>
          </wp:anchor>
        </w:drawing>
      </w:r>
      <w:r w:rsidR="008A39AD">
        <w:t xml:space="preserve">This is a </w:t>
      </w:r>
      <w:r w:rsidR="00583BE1">
        <w:t>‘</w:t>
      </w:r>
      <w:r w:rsidR="00583BE1" w:rsidRPr="00583BE1">
        <w:rPr>
          <w:i/>
          <w:iCs/>
        </w:rPr>
        <w:t>rough hewn grey granite rectangular obelisk on a two stepped rectangular base with the inscription and names on all four faces of the lower part of the obelisk constructed from cast lead letters</w:t>
      </w:r>
      <w:r w:rsidR="00583BE1">
        <w:t>’</w:t>
      </w:r>
      <w:r w:rsidR="00583BE1">
        <w:rPr>
          <w:rStyle w:val="FootnoteReference"/>
        </w:rPr>
        <w:footnoteReference w:id="5"/>
      </w:r>
      <w:r w:rsidR="008A39AD">
        <w:t>.</w:t>
      </w:r>
      <w:r w:rsidR="00E863AC">
        <w:t xml:space="preserve">  It ‘</w:t>
      </w:r>
      <w:r w:rsidR="00E863AC" w:rsidRPr="00E863AC">
        <w:rPr>
          <w:i/>
          <w:iCs/>
        </w:rPr>
        <w:t>stands in the grounds of St John the Evangelist Church in Ford End, Essex in Church Lane, just off the main road. […]  There are 20 names listed for World War 1 and three for World War 2 engraved on the four sides of the plinth.  […] The names here have been sorted into alphabetical order within conflict to ease research and reading</w:t>
      </w:r>
      <w:r w:rsidR="00E863AC">
        <w:t>’</w:t>
      </w:r>
      <w:r w:rsidR="00E863AC">
        <w:rPr>
          <w:rStyle w:val="FootnoteReference"/>
        </w:rPr>
        <w:footnoteReference w:id="6"/>
      </w:r>
      <w:r w:rsidR="00E863AC" w:rsidRPr="00E863AC">
        <w:t>.</w:t>
      </w:r>
    </w:p>
    <w:p w14:paraId="2B8B04A9" w14:textId="77777777" w:rsidR="008A39AD" w:rsidRDefault="008A39AD" w:rsidP="008A39AD">
      <w:pPr>
        <w:pStyle w:val="NoSpacing"/>
        <w:ind w:left="426"/>
        <w:jc w:val="both"/>
      </w:pPr>
    </w:p>
    <w:p w14:paraId="7AB02169" w14:textId="75747BF4" w:rsidR="00583BE1" w:rsidRDefault="008A39AD" w:rsidP="00F53688">
      <w:pPr>
        <w:pStyle w:val="NoSpacing"/>
        <w:numPr>
          <w:ilvl w:val="1"/>
          <w:numId w:val="1"/>
        </w:numPr>
        <w:ind w:left="426"/>
        <w:jc w:val="both"/>
      </w:pPr>
      <w:r>
        <w:t>The inscription states it was erected by the parishioners of Ford End as a tribute to those who fought in the Great War 1914-1919 and a memorial to the fallen of the Second World War 1939-1945.</w:t>
      </w:r>
      <w:r w:rsidR="00583BE1" w:rsidRPr="00583BE1">
        <w:t xml:space="preserve"> This memorial is not currently listed</w:t>
      </w:r>
      <w:r w:rsidR="00F53688">
        <w:rPr>
          <w:rStyle w:val="FootnoteReference"/>
        </w:rPr>
        <w:footnoteReference w:id="7"/>
      </w:r>
      <w:r w:rsidR="00583BE1" w:rsidRPr="00583BE1">
        <w:t>.</w:t>
      </w:r>
    </w:p>
    <w:p w14:paraId="66D698F5" w14:textId="77777777" w:rsidR="00EB27A4" w:rsidRDefault="00EB27A4" w:rsidP="00EB27A4">
      <w:pPr>
        <w:pStyle w:val="NoSpacing"/>
        <w:ind w:left="426"/>
        <w:jc w:val="both"/>
      </w:pPr>
    </w:p>
    <w:p w14:paraId="10C44697" w14:textId="2A0A43C5" w:rsidR="00EB27A4" w:rsidRDefault="00EB27A4" w:rsidP="00F53688">
      <w:pPr>
        <w:pStyle w:val="NoSpacing"/>
        <w:numPr>
          <w:ilvl w:val="1"/>
          <w:numId w:val="1"/>
        </w:numPr>
        <w:ind w:left="426"/>
        <w:jc w:val="both"/>
      </w:pPr>
      <w:r>
        <w:t>GWPC is not responsible for the maintenance of the grassed area around the Ford End memorial.</w:t>
      </w:r>
    </w:p>
    <w:p w14:paraId="6CBF6CE6" w14:textId="77777777" w:rsidR="00583BE1" w:rsidRDefault="00583BE1" w:rsidP="00583BE1">
      <w:pPr>
        <w:pStyle w:val="NoSpacing"/>
        <w:jc w:val="both"/>
      </w:pPr>
    </w:p>
    <w:p w14:paraId="5D040492" w14:textId="540C08EE" w:rsidR="00465F72" w:rsidRPr="00EC7136" w:rsidRDefault="00AC60E2" w:rsidP="00583BE1">
      <w:pPr>
        <w:pStyle w:val="NoSpacing"/>
        <w:numPr>
          <w:ilvl w:val="0"/>
          <w:numId w:val="1"/>
        </w:numPr>
        <w:ind w:left="0"/>
        <w:jc w:val="both"/>
      </w:pPr>
      <w:r>
        <w:t xml:space="preserve">Both war memorials are </w:t>
      </w:r>
      <w:r w:rsidR="00465F72" w:rsidRPr="00EC7136">
        <w:t>used as focal point</w:t>
      </w:r>
      <w:r>
        <w:t>s</w:t>
      </w:r>
      <w:r w:rsidR="00465F72" w:rsidRPr="00EC7136">
        <w:t xml:space="preserve"> during Remembrance commemoration</w:t>
      </w:r>
      <w:r w:rsidR="00EC7136">
        <w:t xml:space="preserve"> events</w:t>
      </w:r>
      <w:r w:rsidR="00465F72" w:rsidRPr="00EC7136">
        <w:t>.</w:t>
      </w:r>
    </w:p>
    <w:p w14:paraId="69177C68" w14:textId="77777777" w:rsidR="009123AD" w:rsidRPr="00EC7136" w:rsidRDefault="009123AD" w:rsidP="009123AD">
      <w:pPr>
        <w:pStyle w:val="NoSpacing"/>
        <w:jc w:val="both"/>
      </w:pPr>
    </w:p>
    <w:p w14:paraId="3E1F4646" w14:textId="5BB22371" w:rsidR="007A3688" w:rsidRPr="001F10E8" w:rsidRDefault="007A3688" w:rsidP="007A3688">
      <w:pPr>
        <w:pStyle w:val="NoSpacing"/>
        <w:rPr>
          <w:b/>
          <w:bCs/>
          <w:u w:val="single"/>
        </w:rPr>
      </w:pPr>
      <w:r w:rsidRPr="001F10E8">
        <w:rPr>
          <w:b/>
          <w:bCs/>
          <w:u w:val="single"/>
        </w:rPr>
        <w:t>Enclosed Area</w:t>
      </w:r>
      <w:r w:rsidR="00AC60E2" w:rsidRPr="001F10E8">
        <w:rPr>
          <w:b/>
          <w:bCs/>
          <w:u w:val="single"/>
        </w:rPr>
        <w:t xml:space="preserve"> Around War Memorial at Banbury Square</w:t>
      </w:r>
    </w:p>
    <w:p w14:paraId="26A98A59" w14:textId="512D3A91" w:rsidR="009123AD" w:rsidRPr="00EC7136" w:rsidRDefault="009123AD" w:rsidP="007A3688">
      <w:pPr>
        <w:pStyle w:val="NoSpacing"/>
      </w:pPr>
    </w:p>
    <w:p w14:paraId="4F2CBC65" w14:textId="07E4C52A" w:rsidR="009123AD" w:rsidRPr="00EC7136" w:rsidRDefault="009123AD" w:rsidP="00AC60E2">
      <w:pPr>
        <w:pStyle w:val="NoSpacing"/>
        <w:numPr>
          <w:ilvl w:val="0"/>
          <w:numId w:val="4"/>
        </w:numPr>
        <w:ind w:left="0"/>
        <w:jc w:val="both"/>
      </w:pPr>
      <w:r w:rsidRPr="00EC7136">
        <w:t xml:space="preserve">The war memorial </w:t>
      </w:r>
      <w:r w:rsidR="00F53688">
        <w:t xml:space="preserve">at Banbury Square </w:t>
      </w:r>
      <w:r w:rsidRPr="00EC7136">
        <w:t xml:space="preserve">is </w:t>
      </w:r>
      <w:r w:rsidR="0062235E" w:rsidRPr="00EC7136">
        <w:t xml:space="preserve">bounded by </w:t>
      </w:r>
      <w:r w:rsidR="00465F72" w:rsidRPr="00EC7136">
        <w:t xml:space="preserve">a </w:t>
      </w:r>
      <w:r w:rsidRPr="00EC7136">
        <w:t xml:space="preserve">triangular arrangement </w:t>
      </w:r>
      <w:r w:rsidR="00465F72" w:rsidRPr="00EC7136">
        <w:t xml:space="preserve">of twelve oak posts each linked to its neighbour by a chain.  </w:t>
      </w:r>
      <w:r w:rsidR="00DB2190" w:rsidRPr="00EC7136">
        <w:t xml:space="preserve">While not primarily a </w:t>
      </w:r>
      <w:r w:rsidR="00465F72" w:rsidRPr="00EC7136">
        <w:t>physical</w:t>
      </w:r>
      <w:r w:rsidR="00DB2190" w:rsidRPr="00EC7136">
        <w:t xml:space="preserve"> deterrent</w:t>
      </w:r>
      <w:r w:rsidR="00465F72" w:rsidRPr="00EC7136">
        <w:t xml:space="preserve">, the barrier </w:t>
      </w:r>
      <w:r w:rsidR="00DB2190" w:rsidRPr="00EC7136">
        <w:t xml:space="preserve">does </w:t>
      </w:r>
      <w:r w:rsidR="00321678" w:rsidRPr="00EC7136">
        <w:t xml:space="preserve">enhance </w:t>
      </w:r>
      <w:r w:rsidR="00465F72" w:rsidRPr="00EC7136">
        <w:t xml:space="preserve">the </w:t>
      </w:r>
      <w:r w:rsidR="0062235E" w:rsidRPr="00EC7136">
        <w:t>perception</w:t>
      </w:r>
      <w:r w:rsidR="00321678" w:rsidRPr="00EC7136">
        <w:t xml:space="preserve"> of the special regard for and desire to protect the </w:t>
      </w:r>
      <w:r w:rsidR="0062235E" w:rsidRPr="00EC7136">
        <w:t>structure</w:t>
      </w:r>
      <w:r w:rsidR="00321678" w:rsidRPr="00EC7136">
        <w:t xml:space="preserve">.  It is </w:t>
      </w:r>
      <w:r w:rsidR="00465F72" w:rsidRPr="00EC7136">
        <w:t xml:space="preserve">effective in preventing casual approaches </w:t>
      </w:r>
      <w:r w:rsidR="00321678" w:rsidRPr="00EC7136">
        <w:t xml:space="preserve">to and interferences with </w:t>
      </w:r>
      <w:r w:rsidR="00465F72" w:rsidRPr="00EC7136">
        <w:t xml:space="preserve">the memorial and the wreathes around it. </w:t>
      </w:r>
    </w:p>
    <w:p w14:paraId="686EAA00" w14:textId="2FA6E1C3" w:rsidR="007A3688" w:rsidRPr="00EC7136" w:rsidRDefault="007A3688" w:rsidP="007A3688">
      <w:pPr>
        <w:pStyle w:val="NoSpacing"/>
      </w:pPr>
    </w:p>
    <w:p w14:paraId="413ACA2E" w14:textId="77777777" w:rsidR="00C50FE2" w:rsidRDefault="00C50FE2">
      <w:pPr>
        <w:rPr>
          <w:b/>
          <w:bCs/>
          <w:u w:val="single"/>
        </w:rPr>
      </w:pPr>
      <w:r>
        <w:rPr>
          <w:b/>
          <w:bCs/>
          <w:u w:val="single"/>
        </w:rPr>
        <w:br w:type="page"/>
      </w:r>
    </w:p>
    <w:p w14:paraId="0570D718" w14:textId="16FB4961" w:rsidR="00465F72" w:rsidRPr="001F10E8" w:rsidRDefault="00465F72" w:rsidP="007A3688">
      <w:pPr>
        <w:pStyle w:val="NoSpacing"/>
        <w:rPr>
          <w:b/>
          <w:bCs/>
          <w:u w:val="single"/>
        </w:rPr>
      </w:pPr>
      <w:r w:rsidRPr="001F10E8">
        <w:rPr>
          <w:b/>
          <w:bCs/>
          <w:u w:val="single"/>
        </w:rPr>
        <w:lastRenderedPageBreak/>
        <w:t>Grassed Area</w:t>
      </w:r>
      <w:r w:rsidR="00AC60E2" w:rsidRPr="001F10E8">
        <w:rPr>
          <w:b/>
          <w:bCs/>
          <w:u w:val="single"/>
        </w:rPr>
        <w:t>, Banbury Square</w:t>
      </w:r>
    </w:p>
    <w:p w14:paraId="58315F9F" w14:textId="34A99E9C" w:rsidR="00465F72" w:rsidRDefault="00465F72" w:rsidP="007A3688">
      <w:pPr>
        <w:pStyle w:val="NoSpacing"/>
      </w:pPr>
    </w:p>
    <w:p w14:paraId="2B656151" w14:textId="48D49040" w:rsidR="0062235E" w:rsidRPr="00EC7136" w:rsidRDefault="00C50FE2" w:rsidP="00AC60E2">
      <w:pPr>
        <w:pStyle w:val="NoSpacing"/>
        <w:numPr>
          <w:ilvl w:val="0"/>
          <w:numId w:val="3"/>
        </w:numPr>
        <w:ind w:left="0"/>
        <w:jc w:val="both"/>
      </w:pPr>
      <w:r>
        <w:rPr>
          <w:noProof/>
        </w:rPr>
        <w:drawing>
          <wp:anchor distT="0" distB="0" distL="114300" distR="114300" simplePos="0" relativeHeight="251660288" behindDoc="1" locked="0" layoutInCell="1" allowOverlap="1" wp14:anchorId="5EA15624" wp14:editId="1A7BFE56">
            <wp:simplePos x="0" y="0"/>
            <wp:positionH relativeFrom="column">
              <wp:posOffset>2047875</wp:posOffset>
            </wp:positionH>
            <wp:positionV relativeFrom="paragraph">
              <wp:posOffset>416967</wp:posOffset>
            </wp:positionV>
            <wp:extent cx="3682365" cy="2699385"/>
            <wp:effectExtent l="0" t="0" r="0" b="5715"/>
            <wp:wrapTight wrapText="bothSides">
              <wp:wrapPolygon edited="0">
                <wp:start x="0" y="0"/>
                <wp:lineTo x="0" y="21493"/>
                <wp:lineTo x="21455" y="21493"/>
                <wp:lineTo x="21455" y="0"/>
                <wp:lineTo x="0" y="0"/>
              </wp:wrapPolygon>
            </wp:wrapTight>
            <wp:docPr id="1549376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2365" cy="269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F72" w:rsidRPr="00EC7136">
        <w:t>Th</w:t>
      </w:r>
      <w:r w:rsidR="00F53688">
        <w:t>is i</w:t>
      </w:r>
      <w:r>
        <w:t>s</w:t>
      </w:r>
      <w:r w:rsidR="00F53688">
        <w:t xml:space="preserve"> a </w:t>
      </w:r>
      <w:r w:rsidR="00465F72" w:rsidRPr="00EC7136">
        <w:t xml:space="preserve">roughly triangular grassed area </w:t>
      </w:r>
      <w:r>
        <w:t xml:space="preserve">making up much of Banbury Square.  It is bounded by Chelmsford Road </w:t>
      </w:r>
      <w:r w:rsidR="00303A0A">
        <w:t>and a semi-circular access road known as ‘Banbury Square’,</w:t>
      </w:r>
      <w:r>
        <w:t xml:space="preserve"> </w:t>
      </w:r>
      <w:r w:rsidR="00465F72" w:rsidRPr="00EC7136">
        <w:t xml:space="preserve">with the memorial and enclosed area at its eastern side.  </w:t>
      </w:r>
      <w:r w:rsidR="00EB27A4">
        <w:t xml:space="preserve">GWPC has no responsibilities for the surrounding roads and pavements.  The grassed area also </w:t>
      </w:r>
      <w:r w:rsidR="00802CFF" w:rsidRPr="00EC7136">
        <w:t xml:space="preserve">contains an oak tree which is used to carry seasonal lighting decorations (used in winter, but remaining on the tree all year around).  The tree is </w:t>
      </w:r>
      <w:r w:rsidR="006E6E43">
        <w:t xml:space="preserve">quite </w:t>
      </w:r>
      <w:r w:rsidR="00802CFF" w:rsidRPr="00EC7136">
        <w:t xml:space="preserve">young and is expected to grow significantly, albeit over a long period of time.  The power for the lights is </w:t>
      </w:r>
      <w:r w:rsidR="006E6E43">
        <w:t xml:space="preserve">currently </w:t>
      </w:r>
      <w:r w:rsidR="00802CFF" w:rsidRPr="00EC7136">
        <w:t>supplied and paid for by the owners of the adjacent property known as Badynghams.</w:t>
      </w:r>
    </w:p>
    <w:p w14:paraId="72A7379B" w14:textId="37DD878C" w:rsidR="0062235E" w:rsidRPr="00EC7136" w:rsidRDefault="0062235E" w:rsidP="0062235E">
      <w:pPr>
        <w:pStyle w:val="NoSpacing"/>
        <w:jc w:val="both"/>
      </w:pPr>
    </w:p>
    <w:p w14:paraId="0F56CAC8" w14:textId="081A567C" w:rsidR="00802CFF" w:rsidRPr="00EC7136" w:rsidRDefault="00802CFF" w:rsidP="00AC60E2">
      <w:pPr>
        <w:pStyle w:val="NoSpacing"/>
        <w:numPr>
          <w:ilvl w:val="0"/>
          <w:numId w:val="3"/>
        </w:numPr>
        <w:ind w:left="0"/>
        <w:jc w:val="both"/>
      </w:pPr>
      <w:r w:rsidRPr="00EC7136">
        <w:t>The grass</w:t>
      </w:r>
      <w:r w:rsidR="00EB27A4">
        <w:t>ed area</w:t>
      </w:r>
      <w:r w:rsidRPr="00EC7136">
        <w:t xml:space="preserve"> is mowed and maintained by the GWPC handyperson </w:t>
      </w:r>
      <w:r w:rsidR="00EB27A4">
        <w:t>as</w:t>
      </w:r>
      <w:r w:rsidRPr="00EC7136">
        <w:t xml:space="preserve"> part of the overall upkeep and maintenance duties of the role, although special arrangements are </w:t>
      </w:r>
      <w:r w:rsidR="0062235E" w:rsidRPr="00EC7136">
        <w:t>generally</w:t>
      </w:r>
      <w:r w:rsidRPr="00EC7136">
        <w:t xml:space="preserve"> made </w:t>
      </w:r>
      <w:r w:rsidR="0062235E" w:rsidRPr="00EC7136">
        <w:t xml:space="preserve">each year </w:t>
      </w:r>
      <w:r w:rsidRPr="00EC7136">
        <w:t xml:space="preserve">to ensure the tidiness of the general area in preparation for </w:t>
      </w:r>
      <w:r w:rsidR="0062235E" w:rsidRPr="00EC7136">
        <w:t>Remembrance Sunday events in November</w:t>
      </w:r>
      <w:r w:rsidRPr="00EC7136">
        <w:t>.</w:t>
      </w:r>
    </w:p>
    <w:p w14:paraId="52536AB3" w14:textId="15F41548" w:rsidR="00465F72" w:rsidRPr="00EC7136" w:rsidRDefault="00465F72" w:rsidP="007A3688">
      <w:pPr>
        <w:pStyle w:val="NoSpacing"/>
      </w:pPr>
    </w:p>
    <w:p w14:paraId="4475A801" w14:textId="6B4F8CAB" w:rsidR="007A3688" w:rsidRPr="001F10E8" w:rsidRDefault="00EC7136" w:rsidP="007A3688">
      <w:pPr>
        <w:pStyle w:val="NoSpacing"/>
        <w:rPr>
          <w:b/>
          <w:bCs/>
          <w:u w:val="single"/>
        </w:rPr>
      </w:pPr>
      <w:r w:rsidRPr="001F10E8">
        <w:rPr>
          <w:b/>
          <w:bCs/>
          <w:u w:val="single"/>
        </w:rPr>
        <w:t>Strategic Plan</w:t>
      </w:r>
    </w:p>
    <w:p w14:paraId="7EFBEE33" w14:textId="4618EB58" w:rsidR="0062235E" w:rsidRPr="00EC7136" w:rsidRDefault="0062235E" w:rsidP="007A3688">
      <w:pPr>
        <w:pStyle w:val="NoSpacing"/>
      </w:pPr>
    </w:p>
    <w:p w14:paraId="2DC5DF11" w14:textId="76F673ED" w:rsidR="0062235E" w:rsidRPr="00EC7136" w:rsidRDefault="0062235E" w:rsidP="00AC60E2">
      <w:pPr>
        <w:pStyle w:val="NoSpacing"/>
        <w:numPr>
          <w:ilvl w:val="0"/>
          <w:numId w:val="3"/>
        </w:numPr>
        <w:ind w:left="0"/>
      </w:pPr>
      <w:r w:rsidRPr="00EC7136">
        <w:t>GWPC will:</w:t>
      </w:r>
    </w:p>
    <w:p w14:paraId="47E8BC9C" w14:textId="4FA6357B" w:rsidR="0062235E" w:rsidRPr="00EC7136" w:rsidRDefault="0062235E" w:rsidP="0062235E">
      <w:pPr>
        <w:pStyle w:val="NoSpacing"/>
      </w:pPr>
    </w:p>
    <w:p w14:paraId="72EF46C5" w14:textId="722AEA04" w:rsidR="000B047E" w:rsidRPr="00EC7136" w:rsidRDefault="000B047E" w:rsidP="00AC60E2">
      <w:pPr>
        <w:pStyle w:val="NoSpacing"/>
        <w:numPr>
          <w:ilvl w:val="1"/>
          <w:numId w:val="3"/>
        </w:numPr>
        <w:ind w:left="567" w:hanging="491"/>
        <w:jc w:val="both"/>
      </w:pPr>
      <w:r w:rsidRPr="00EC7136">
        <w:t xml:space="preserve">Continue to effect routine maintenance work at the Banbury Square site and </w:t>
      </w:r>
      <w:r w:rsidR="00EB27A4">
        <w:t xml:space="preserve">on the war memorial at Ford End and to </w:t>
      </w:r>
      <w:r w:rsidRPr="00EC7136">
        <w:t xml:space="preserve">prepare </w:t>
      </w:r>
      <w:r w:rsidR="00EB27A4">
        <w:t xml:space="preserve">them as necessary </w:t>
      </w:r>
      <w:r w:rsidRPr="00EC7136">
        <w:t xml:space="preserve">for special </w:t>
      </w:r>
      <w:r w:rsidR="00EB27A4">
        <w:t>occasions</w:t>
      </w:r>
      <w:r w:rsidRPr="00EC7136">
        <w:t xml:space="preserve"> (in particular, Remembrance events in November).</w:t>
      </w:r>
    </w:p>
    <w:p w14:paraId="64462802" w14:textId="152F3C9F" w:rsidR="000B047E" w:rsidRPr="00EC7136" w:rsidRDefault="000B047E" w:rsidP="000B047E">
      <w:pPr>
        <w:pStyle w:val="NoSpacing"/>
        <w:ind w:left="567"/>
        <w:jc w:val="both"/>
      </w:pPr>
    </w:p>
    <w:p w14:paraId="5CBC3084" w14:textId="5840299D" w:rsidR="0062235E" w:rsidRPr="00EC7136" w:rsidRDefault="0062235E" w:rsidP="00AC60E2">
      <w:pPr>
        <w:pStyle w:val="NoSpacing"/>
        <w:numPr>
          <w:ilvl w:val="1"/>
          <w:numId w:val="3"/>
        </w:numPr>
        <w:ind w:left="567" w:hanging="491"/>
        <w:jc w:val="both"/>
      </w:pPr>
      <w:r w:rsidRPr="00EC7136">
        <w:t>Complete monthly inspections of the site</w:t>
      </w:r>
      <w:r w:rsidR="00EB27A4">
        <w:t>s</w:t>
      </w:r>
      <w:r w:rsidR="00321678" w:rsidRPr="00EC7136">
        <w:t xml:space="preserve">, and in </w:t>
      </w:r>
      <w:r w:rsidRPr="00EC7136">
        <w:t xml:space="preserve">particular, </w:t>
      </w:r>
      <w:r w:rsidR="00321678" w:rsidRPr="00EC7136">
        <w:t xml:space="preserve">to </w:t>
      </w:r>
      <w:r w:rsidRPr="00EC7136">
        <w:t>focus on the conditions of the memorial</w:t>
      </w:r>
      <w:r w:rsidR="00EB27A4">
        <w:t>s’</w:t>
      </w:r>
      <w:r w:rsidRPr="00EC7136">
        <w:t xml:space="preserve"> stonework and the </w:t>
      </w:r>
      <w:r w:rsidR="00321678" w:rsidRPr="00EC7136">
        <w:t>wooden posts and chains of the boundary barrier</w:t>
      </w:r>
      <w:r w:rsidR="00EB27A4">
        <w:t xml:space="preserve"> at Banbury Square</w:t>
      </w:r>
      <w:r w:rsidR="00321678" w:rsidRPr="00EC7136">
        <w:t>.</w:t>
      </w:r>
    </w:p>
    <w:p w14:paraId="655BDDE9" w14:textId="316E8BD0" w:rsidR="000B047E" w:rsidRPr="00EC7136" w:rsidRDefault="000B047E" w:rsidP="000B047E">
      <w:pPr>
        <w:pStyle w:val="NoSpacing"/>
        <w:ind w:left="567"/>
        <w:jc w:val="both"/>
      </w:pPr>
    </w:p>
    <w:p w14:paraId="546F689D" w14:textId="308960DA" w:rsidR="00902B0D" w:rsidRPr="00EC7136" w:rsidRDefault="00902B0D" w:rsidP="00AC60E2">
      <w:pPr>
        <w:pStyle w:val="NoSpacing"/>
        <w:numPr>
          <w:ilvl w:val="1"/>
          <w:numId w:val="3"/>
        </w:numPr>
        <w:ind w:left="567" w:hanging="491"/>
        <w:jc w:val="both"/>
      </w:pPr>
      <w:r w:rsidRPr="00EC7136">
        <w:t>Continue to liaise closely with the War Memorial Trust when it needs advice and approval for any necessary repairs or renewal work to the memorial</w:t>
      </w:r>
      <w:r w:rsidR="00EB27A4">
        <w:t>s</w:t>
      </w:r>
      <w:r w:rsidRPr="00EC7136">
        <w:t>.</w:t>
      </w:r>
    </w:p>
    <w:p w14:paraId="510D2C3F" w14:textId="68BAB405" w:rsidR="00902B0D" w:rsidRPr="00EC7136" w:rsidRDefault="00902B0D" w:rsidP="00902B0D">
      <w:pPr>
        <w:pStyle w:val="NoSpacing"/>
        <w:ind w:left="567"/>
        <w:jc w:val="both"/>
      </w:pPr>
    </w:p>
    <w:p w14:paraId="21E8682C" w14:textId="2155457E" w:rsidR="000B047E" w:rsidRPr="00EC7136" w:rsidRDefault="000B047E" w:rsidP="00AC60E2">
      <w:pPr>
        <w:pStyle w:val="NoSpacing"/>
        <w:numPr>
          <w:ilvl w:val="1"/>
          <w:numId w:val="3"/>
        </w:numPr>
        <w:ind w:left="567" w:hanging="491"/>
        <w:jc w:val="both"/>
      </w:pPr>
      <w:r w:rsidRPr="00EC7136">
        <w:t>Carry out any and all agreed repair and renovation works at the site</w:t>
      </w:r>
      <w:r w:rsidR="00EB27A4">
        <w:t>s</w:t>
      </w:r>
      <w:r w:rsidRPr="00EC7136">
        <w:t xml:space="preserve"> as promptly as possible.</w:t>
      </w:r>
    </w:p>
    <w:p w14:paraId="1B486A84" w14:textId="0151E77B" w:rsidR="000B047E" w:rsidRPr="00EC7136" w:rsidRDefault="000B047E" w:rsidP="000B047E">
      <w:pPr>
        <w:pStyle w:val="NoSpacing"/>
        <w:ind w:left="567"/>
        <w:jc w:val="both"/>
      </w:pPr>
    </w:p>
    <w:p w14:paraId="29B4CA8B" w14:textId="7517A5CB" w:rsidR="00E863AC" w:rsidRDefault="00321678" w:rsidP="00AC60E2">
      <w:pPr>
        <w:pStyle w:val="NoSpacing"/>
        <w:numPr>
          <w:ilvl w:val="1"/>
          <w:numId w:val="3"/>
        </w:numPr>
        <w:ind w:left="567" w:hanging="491"/>
        <w:jc w:val="both"/>
      </w:pPr>
      <w:r w:rsidRPr="00EC7136">
        <w:t xml:space="preserve">Include </w:t>
      </w:r>
      <w:r w:rsidR="000B047E" w:rsidRPr="00EC7136">
        <w:t xml:space="preserve">specifically </w:t>
      </w:r>
      <w:r w:rsidRPr="00EC7136">
        <w:t>agreed amount</w:t>
      </w:r>
      <w:r w:rsidR="00EC7136" w:rsidRPr="00EC7136">
        <w:t>s</w:t>
      </w:r>
      <w:r w:rsidRPr="00EC7136">
        <w:t xml:space="preserve"> in its </w:t>
      </w:r>
      <w:r w:rsidR="000B047E" w:rsidRPr="00EC7136">
        <w:t xml:space="preserve">annual </w:t>
      </w:r>
      <w:r w:rsidRPr="00EC7136">
        <w:t>budget</w:t>
      </w:r>
      <w:r w:rsidR="000B047E" w:rsidRPr="00EC7136">
        <w:t>s</w:t>
      </w:r>
      <w:r w:rsidRPr="00EC7136">
        <w:t xml:space="preserve"> to cover the cost</w:t>
      </w:r>
      <w:r w:rsidR="00EC7136" w:rsidRPr="00EC7136">
        <w:t>s</w:t>
      </w:r>
      <w:r w:rsidRPr="00EC7136">
        <w:t xml:space="preserve"> of both </w:t>
      </w:r>
      <w:r w:rsidR="000B047E" w:rsidRPr="00EC7136">
        <w:t xml:space="preserve">(a) </w:t>
      </w:r>
      <w:r w:rsidRPr="00EC7136">
        <w:t xml:space="preserve">routine maintenance and </w:t>
      </w:r>
      <w:r w:rsidR="000B047E" w:rsidRPr="00EC7136">
        <w:t xml:space="preserve">(b) </w:t>
      </w:r>
      <w:r w:rsidRPr="00EC7136">
        <w:t>exceptional repair or renovation work</w:t>
      </w:r>
      <w:r w:rsidR="00EB27A4">
        <w:t>s</w:t>
      </w:r>
      <w:r w:rsidR="000B047E" w:rsidRPr="00EC7136">
        <w:t xml:space="preserve"> at the site</w:t>
      </w:r>
      <w:r w:rsidR="00EB27A4">
        <w:t>s</w:t>
      </w:r>
      <w:r w:rsidRPr="00EC7136">
        <w:t>.  The latter may take the form of a</w:t>
      </w:r>
      <w:r w:rsidR="00EB27A4">
        <w:t>n earmarked</w:t>
      </w:r>
      <w:r w:rsidRPr="00EC7136">
        <w:t xml:space="preserve"> reserve which </w:t>
      </w:r>
      <w:r w:rsidR="000B047E" w:rsidRPr="00EC7136">
        <w:t>can</w:t>
      </w:r>
      <w:r w:rsidRPr="00EC7136">
        <w:t xml:space="preserve"> be carried over from one financial year to the next</w:t>
      </w:r>
      <w:r w:rsidR="008151A0">
        <w:rPr>
          <w:rStyle w:val="FootnoteReference"/>
        </w:rPr>
        <w:footnoteReference w:id="8"/>
      </w:r>
      <w:r w:rsidRPr="00EC7136">
        <w:t>.</w:t>
      </w:r>
    </w:p>
    <w:p w14:paraId="3C1EA551" w14:textId="75F3C412" w:rsidR="00C50FE2" w:rsidRDefault="00C50FE2" w:rsidP="001F10E8"/>
    <w:p w14:paraId="1834B165" w14:textId="6E3D809D" w:rsidR="00C50FE2" w:rsidRPr="00EC7136" w:rsidRDefault="00C50FE2" w:rsidP="001F10E8"/>
    <w:sectPr w:rsidR="00C50FE2" w:rsidRPr="00EC713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0D15" w14:textId="77777777" w:rsidR="002A7219" w:rsidRDefault="002A7219" w:rsidP="00D13683">
      <w:pPr>
        <w:spacing w:after="0" w:line="240" w:lineRule="auto"/>
      </w:pPr>
      <w:r>
        <w:separator/>
      </w:r>
    </w:p>
  </w:endnote>
  <w:endnote w:type="continuationSeparator" w:id="0">
    <w:p w14:paraId="6E975DD2" w14:textId="77777777" w:rsidR="002A7219" w:rsidRDefault="002A7219" w:rsidP="00D1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446737"/>
      <w:docPartObj>
        <w:docPartGallery w:val="Page Numbers (Bottom of Page)"/>
        <w:docPartUnique/>
      </w:docPartObj>
    </w:sdtPr>
    <w:sdtEndPr>
      <w:rPr>
        <w:color w:val="7F7F7F" w:themeColor="background1" w:themeShade="7F"/>
        <w:spacing w:val="60"/>
      </w:rPr>
    </w:sdtEndPr>
    <w:sdtContent>
      <w:p w14:paraId="7112AF9D" w14:textId="5C559D5A" w:rsidR="00EC7136" w:rsidRDefault="00EC71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F1FE3E" w14:textId="77777777" w:rsidR="00EC7136" w:rsidRDefault="00EC7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AE86" w14:textId="77777777" w:rsidR="002A7219" w:rsidRDefault="002A7219" w:rsidP="00D13683">
      <w:pPr>
        <w:spacing w:after="0" w:line="240" w:lineRule="auto"/>
      </w:pPr>
      <w:r>
        <w:separator/>
      </w:r>
    </w:p>
  </w:footnote>
  <w:footnote w:type="continuationSeparator" w:id="0">
    <w:p w14:paraId="2593A582" w14:textId="77777777" w:rsidR="002A7219" w:rsidRDefault="002A7219" w:rsidP="00D13683">
      <w:pPr>
        <w:spacing w:after="0" w:line="240" w:lineRule="auto"/>
      </w:pPr>
      <w:r>
        <w:continuationSeparator/>
      </w:r>
    </w:p>
  </w:footnote>
  <w:footnote w:id="1">
    <w:p w14:paraId="4E765922" w14:textId="77777777" w:rsidR="00F53688" w:rsidRPr="000B047E" w:rsidRDefault="00F53688" w:rsidP="00F53688">
      <w:pPr>
        <w:pStyle w:val="FootnoteText"/>
        <w:ind w:left="113" w:hanging="113"/>
        <w:rPr>
          <w:sz w:val="16"/>
          <w:szCs w:val="16"/>
        </w:rPr>
      </w:pPr>
      <w:r w:rsidRPr="000B047E">
        <w:rPr>
          <w:rStyle w:val="FootnoteReference"/>
          <w:sz w:val="16"/>
          <w:szCs w:val="16"/>
        </w:rPr>
        <w:footnoteRef/>
      </w:r>
      <w:r w:rsidRPr="000B047E">
        <w:rPr>
          <w:sz w:val="16"/>
          <w:szCs w:val="16"/>
        </w:rPr>
        <w:t xml:space="preserve"> </w:t>
      </w:r>
      <w:r>
        <w:rPr>
          <w:sz w:val="16"/>
          <w:szCs w:val="16"/>
        </w:rPr>
        <w:t xml:space="preserve">The </w:t>
      </w:r>
      <w:r w:rsidRPr="000B047E">
        <w:rPr>
          <w:sz w:val="16"/>
          <w:szCs w:val="16"/>
        </w:rPr>
        <w:t>current version of GWPC</w:t>
      </w:r>
      <w:r>
        <w:rPr>
          <w:sz w:val="16"/>
          <w:szCs w:val="16"/>
        </w:rPr>
        <w:t>’s</w:t>
      </w:r>
      <w:r w:rsidRPr="000B047E">
        <w:rPr>
          <w:sz w:val="16"/>
          <w:szCs w:val="16"/>
        </w:rPr>
        <w:t xml:space="preserve"> Asset Register</w:t>
      </w:r>
      <w:r>
        <w:rPr>
          <w:sz w:val="16"/>
          <w:szCs w:val="16"/>
        </w:rPr>
        <w:t xml:space="preserve"> is available at</w:t>
      </w:r>
      <w:r w:rsidRPr="000B047E">
        <w:rPr>
          <w:sz w:val="16"/>
          <w:szCs w:val="16"/>
        </w:rPr>
        <w:t xml:space="preserve"> </w:t>
      </w:r>
      <w:hyperlink r:id="rId1" w:history="1">
        <w:r w:rsidRPr="00667FAA">
          <w:rPr>
            <w:rStyle w:val="Hyperlink"/>
            <w:sz w:val="16"/>
            <w:szCs w:val="16"/>
          </w:rPr>
          <w:t>https://e-voice.org.uk/greatwalthamparish/copy-of-parish-directory/</w:t>
        </w:r>
      </w:hyperlink>
    </w:p>
  </w:footnote>
  <w:footnote w:id="2">
    <w:p w14:paraId="5DF7979A" w14:textId="2CB04249" w:rsidR="00FA3CCB" w:rsidRPr="000B047E" w:rsidRDefault="00FA3CCB" w:rsidP="000B047E">
      <w:pPr>
        <w:pStyle w:val="FootnoteText"/>
        <w:ind w:left="113" w:hanging="113"/>
        <w:rPr>
          <w:sz w:val="16"/>
          <w:szCs w:val="16"/>
        </w:rPr>
      </w:pPr>
      <w:r w:rsidRPr="000B047E">
        <w:rPr>
          <w:rStyle w:val="FootnoteReference"/>
          <w:sz w:val="16"/>
          <w:szCs w:val="16"/>
        </w:rPr>
        <w:footnoteRef/>
      </w:r>
      <w:r w:rsidRPr="000B047E">
        <w:rPr>
          <w:sz w:val="16"/>
          <w:szCs w:val="16"/>
        </w:rPr>
        <w:t xml:space="preserve"> Great Waltham War Memorial (2023), </w:t>
      </w:r>
      <w:r w:rsidRPr="000B047E">
        <w:rPr>
          <w:i/>
          <w:iCs/>
          <w:sz w:val="16"/>
          <w:szCs w:val="16"/>
        </w:rPr>
        <w:t>The War Memorial</w:t>
      </w:r>
      <w:r w:rsidRPr="000B047E">
        <w:rPr>
          <w:sz w:val="16"/>
          <w:szCs w:val="16"/>
        </w:rPr>
        <w:t>.  Available at:</w:t>
      </w:r>
      <w:r w:rsidR="000B047E">
        <w:rPr>
          <w:sz w:val="16"/>
          <w:szCs w:val="16"/>
        </w:rPr>
        <w:t xml:space="preserve"> </w:t>
      </w:r>
      <w:hyperlink r:id="rId2" w:history="1">
        <w:r w:rsidR="000B047E" w:rsidRPr="00667FAA">
          <w:rPr>
            <w:rStyle w:val="Hyperlink"/>
            <w:sz w:val="16"/>
            <w:szCs w:val="16"/>
          </w:rPr>
          <w:t>https://www.greatwalthamwarmemorial.co.uk/ warmemorial</w:t>
        </w:r>
      </w:hyperlink>
      <w:r w:rsidRPr="000B047E">
        <w:rPr>
          <w:sz w:val="16"/>
          <w:szCs w:val="16"/>
        </w:rPr>
        <w:t>.  (Accessed 13</w:t>
      </w:r>
      <w:r w:rsidRPr="000B047E">
        <w:rPr>
          <w:sz w:val="16"/>
          <w:szCs w:val="16"/>
          <w:vertAlign w:val="superscript"/>
        </w:rPr>
        <w:t>th</w:t>
      </w:r>
      <w:r w:rsidRPr="000B047E">
        <w:rPr>
          <w:sz w:val="16"/>
          <w:szCs w:val="16"/>
        </w:rPr>
        <w:t xml:space="preserve"> March 2023).</w:t>
      </w:r>
    </w:p>
  </w:footnote>
  <w:footnote w:id="3">
    <w:p w14:paraId="7C1C2658" w14:textId="2D483283" w:rsidR="00FA3CCB" w:rsidRPr="000B047E" w:rsidRDefault="00FA3CCB">
      <w:pPr>
        <w:pStyle w:val="FootnoteText"/>
        <w:rPr>
          <w:sz w:val="16"/>
          <w:szCs w:val="16"/>
        </w:rPr>
      </w:pPr>
      <w:r w:rsidRPr="000B047E">
        <w:rPr>
          <w:rStyle w:val="FootnoteReference"/>
          <w:sz w:val="16"/>
          <w:szCs w:val="16"/>
        </w:rPr>
        <w:footnoteRef/>
      </w:r>
      <w:r w:rsidRPr="000B047E">
        <w:rPr>
          <w:sz w:val="16"/>
          <w:szCs w:val="16"/>
        </w:rPr>
        <w:t xml:space="preserve"> Ibid.</w:t>
      </w:r>
    </w:p>
  </w:footnote>
  <w:footnote w:id="4">
    <w:p w14:paraId="6DF0DF38" w14:textId="6DAC631C" w:rsidR="00FA3CCB" w:rsidRPr="00583BE1" w:rsidRDefault="00FA3CCB" w:rsidP="00E863AC">
      <w:pPr>
        <w:pStyle w:val="FootnoteText"/>
        <w:rPr>
          <w:sz w:val="16"/>
          <w:szCs w:val="16"/>
        </w:rPr>
      </w:pPr>
      <w:r w:rsidRPr="00583BE1">
        <w:rPr>
          <w:rStyle w:val="FootnoteReference"/>
          <w:sz w:val="16"/>
          <w:szCs w:val="16"/>
        </w:rPr>
        <w:footnoteRef/>
      </w:r>
      <w:r w:rsidRPr="00583BE1">
        <w:rPr>
          <w:sz w:val="16"/>
          <w:szCs w:val="16"/>
        </w:rPr>
        <w:t xml:space="preserve"> Ibid., Great Waltham War Memorial (2023).</w:t>
      </w:r>
    </w:p>
  </w:footnote>
  <w:footnote w:id="5">
    <w:p w14:paraId="555CF456" w14:textId="3D1A1AEB" w:rsidR="00583BE1" w:rsidRPr="00E863AC" w:rsidRDefault="00583BE1" w:rsidP="00E863AC">
      <w:pPr>
        <w:pStyle w:val="FootnoteText"/>
        <w:ind w:left="113" w:hanging="113"/>
        <w:rPr>
          <w:sz w:val="16"/>
          <w:szCs w:val="16"/>
        </w:rPr>
      </w:pPr>
      <w:r w:rsidRPr="00583BE1">
        <w:rPr>
          <w:rStyle w:val="FootnoteReference"/>
          <w:sz w:val="16"/>
          <w:szCs w:val="16"/>
        </w:rPr>
        <w:footnoteRef/>
      </w:r>
      <w:r w:rsidRPr="00583BE1">
        <w:rPr>
          <w:sz w:val="16"/>
          <w:szCs w:val="16"/>
        </w:rPr>
        <w:t xml:space="preserve"> Imperial </w:t>
      </w:r>
      <w:r w:rsidRPr="00E863AC">
        <w:rPr>
          <w:sz w:val="16"/>
          <w:szCs w:val="16"/>
        </w:rPr>
        <w:t xml:space="preserve">War Museum (2023), </w:t>
      </w:r>
      <w:r w:rsidRPr="00E863AC">
        <w:rPr>
          <w:i/>
          <w:iCs/>
          <w:sz w:val="16"/>
          <w:szCs w:val="16"/>
        </w:rPr>
        <w:t>War Memorials Register, Ford End – Obelisk</w:t>
      </w:r>
      <w:r w:rsidRPr="00E863AC">
        <w:rPr>
          <w:sz w:val="16"/>
          <w:szCs w:val="16"/>
        </w:rPr>
        <w:t xml:space="preserve">.  Available at </w:t>
      </w:r>
      <w:hyperlink r:id="rId3" w:history="1">
        <w:r w:rsidRPr="00E863AC">
          <w:rPr>
            <w:rStyle w:val="Hyperlink"/>
            <w:sz w:val="16"/>
            <w:szCs w:val="16"/>
          </w:rPr>
          <w:t>https://www.iwm.org.uk/memorials/item/memorial/22245</w:t>
        </w:r>
      </w:hyperlink>
      <w:r w:rsidRPr="00E863AC">
        <w:rPr>
          <w:sz w:val="16"/>
          <w:szCs w:val="16"/>
        </w:rPr>
        <w:t>, accessed 24/03/2023.</w:t>
      </w:r>
    </w:p>
  </w:footnote>
  <w:footnote w:id="6">
    <w:p w14:paraId="62DD6CDD" w14:textId="70796BC9" w:rsidR="00E863AC" w:rsidRPr="00E863AC" w:rsidRDefault="00E863AC" w:rsidP="00E863AC">
      <w:pPr>
        <w:pStyle w:val="FootnoteText"/>
        <w:ind w:left="113" w:hanging="113"/>
        <w:rPr>
          <w:sz w:val="16"/>
          <w:szCs w:val="16"/>
        </w:rPr>
      </w:pPr>
      <w:r w:rsidRPr="00E863AC">
        <w:rPr>
          <w:rStyle w:val="FootnoteReference"/>
          <w:sz w:val="16"/>
          <w:szCs w:val="16"/>
        </w:rPr>
        <w:footnoteRef/>
      </w:r>
      <w:r w:rsidRPr="00E863AC">
        <w:rPr>
          <w:sz w:val="16"/>
          <w:szCs w:val="16"/>
        </w:rPr>
        <w:t xml:space="preserve"> Royal British Legion (2023), </w:t>
      </w:r>
      <w:r w:rsidRPr="00E863AC">
        <w:rPr>
          <w:i/>
          <w:iCs/>
          <w:sz w:val="16"/>
          <w:szCs w:val="16"/>
        </w:rPr>
        <w:t xml:space="preserve">Roll of Honour, Ford End War Memorial. </w:t>
      </w:r>
      <w:r w:rsidRPr="00E863AC">
        <w:rPr>
          <w:sz w:val="16"/>
          <w:szCs w:val="16"/>
        </w:rPr>
        <w:t xml:space="preserve"> Available at </w:t>
      </w:r>
      <w:hyperlink r:id="rId4" w:history="1">
        <w:r w:rsidRPr="00E863AC">
          <w:rPr>
            <w:rStyle w:val="Hyperlink"/>
            <w:sz w:val="16"/>
            <w:szCs w:val="16"/>
          </w:rPr>
          <w:t>https://www.roll-of-honour.com/Essex/FordEnd.html</w:t>
        </w:r>
      </w:hyperlink>
      <w:r w:rsidRPr="00E863AC">
        <w:rPr>
          <w:sz w:val="16"/>
          <w:szCs w:val="16"/>
        </w:rPr>
        <w:t>, accessed 24/03/2023.</w:t>
      </w:r>
    </w:p>
  </w:footnote>
  <w:footnote w:id="7">
    <w:p w14:paraId="22F1CF4A" w14:textId="77777777" w:rsidR="00F53688" w:rsidRPr="00E863AC" w:rsidRDefault="00F53688" w:rsidP="00F53688">
      <w:pPr>
        <w:pStyle w:val="FootnoteText"/>
        <w:rPr>
          <w:sz w:val="16"/>
          <w:szCs w:val="16"/>
        </w:rPr>
      </w:pPr>
      <w:r w:rsidRPr="00E863AC">
        <w:rPr>
          <w:rStyle w:val="FootnoteReference"/>
          <w:sz w:val="16"/>
          <w:szCs w:val="16"/>
        </w:rPr>
        <w:footnoteRef/>
      </w:r>
      <w:r w:rsidRPr="00E863AC">
        <w:rPr>
          <w:sz w:val="16"/>
          <w:szCs w:val="16"/>
        </w:rPr>
        <w:t xml:space="preserve"> Ibid., Imperial War Museum.</w:t>
      </w:r>
    </w:p>
  </w:footnote>
  <w:footnote w:id="8">
    <w:p w14:paraId="2740602C" w14:textId="77777777" w:rsidR="008151A0" w:rsidRPr="00EB27A4" w:rsidRDefault="008151A0" w:rsidP="008151A0">
      <w:pPr>
        <w:pStyle w:val="FootnoteText"/>
        <w:ind w:left="113" w:hanging="113"/>
        <w:rPr>
          <w:sz w:val="16"/>
          <w:szCs w:val="16"/>
        </w:rPr>
      </w:pPr>
      <w:r w:rsidRPr="00EB27A4">
        <w:rPr>
          <w:rStyle w:val="FootnoteReference"/>
          <w:sz w:val="16"/>
          <w:szCs w:val="16"/>
        </w:rPr>
        <w:footnoteRef/>
      </w:r>
      <w:r w:rsidRPr="00EB27A4">
        <w:rPr>
          <w:sz w:val="16"/>
          <w:szCs w:val="16"/>
        </w:rPr>
        <w:t xml:space="preserve"> See GWPC </w:t>
      </w:r>
      <w:r w:rsidRPr="00EB27A4">
        <w:rPr>
          <w:i/>
          <w:iCs/>
          <w:sz w:val="16"/>
          <w:szCs w:val="16"/>
        </w:rPr>
        <w:t>Investments and Reserves Policy</w:t>
      </w:r>
      <w:r w:rsidRPr="00EB27A4">
        <w:rPr>
          <w:sz w:val="16"/>
          <w:szCs w:val="16"/>
        </w:rPr>
        <w:t xml:space="preserve">, available at </w:t>
      </w:r>
      <w:hyperlink r:id="rId5" w:history="1">
        <w:r w:rsidRPr="00F37BFC">
          <w:rPr>
            <w:rStyle w:val="Hyperlink"/>
            <w:sz w:val="16"/>
            <w:szCs w:val="16"/>
          </w:rPr>
          <w:t>https://e-voice.org.uk/greatwalthamparish/copy-of-parish-directory/policy-files/</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844875"/>
      <w:docPartObj>
        <w:docPartGallery w:val="Watermarks"/>
        <w:docPartUnique/>
      </w:docPartObj>
    </w:sdtPr>
    <w:sdtContent>
      <w:p w14:paraId="73965850" w14:textId="1DB4C105" w:rsidR="00EC7136" w:rsidRDefault="00000000">
        <w:pPr>
          <w:pStyle w:val="Header"/>
        </w:pPr>
        <w:r>
          <w:rPr>
            <w:noProof/>
          </w:rPr>
          <w:pict w14:anchorId="3AA6F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41E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2A7B78"/>
    <w:multiLevelType w:val="hybridMultilevel"/>
    <w:tmpl w:val="C428EB7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00A1F"/>
    <w:multiLevelType w:val="hybridMultilevel"/>
    <w:tmpl w:val="733091E2"/>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1D2A66"/>
    <w:multiLevelType w:val="multilevel"/>
    <w:tmpl w:val="7F30CF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3062967">
    <w:abstractNumId w:val="0"/>
  </w:num>
  <w:num w:numId="2" w16cid:durableId="708070791">
    <w:abstractNumId w:val="3"/>
  </w:num>
  <w:num w:numId="3" w16cid:durableId="290743951">
    <w:abstractNumId w:val="2"/>
  </w:num>
  <w:num w:numId="4" w16cid:durableId="42311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88"/>
    <w:rsid w:val="000B047E"/>
    <w:rsid w:val="000D1596"/>
    <w:rsid w:val="001C3788"/>
    <w:rsid w:val="001E6A62"/>
    <w:rsid w:val="001F10E8"/>
    <w:rsid w:val="002668B8"/>
    <w:rsid w:val="002A7219"/>
    <w:rsid w:val="002D24B4"/>
    <w:rsid w:val="00303A0A"/>
    <w:rsid w:val="00321678"/>
    <w:rsid w:val="00410925"/>
    <w:rsid w:val="00465F72"/>
    <w:rsid w:val="004D3B8B"/>
    <w:rsid w:val="005046DF"/>
    <w:rsid w:val="00583BE1"/>
    <w:rsid w:val="006116A4"/>
    <w:rsid w:val="0062235E"/>
    <w:rsid w:val="00695E58"/>
    <w:rsid w:val="006E6E43"/>
    <w:rsid w:val="007A3688"/>
    <w:rsid w:val="00802CFF"/>
    <w:rsid w:val="008151A0"/>
    <w:rsid w:val="008A39AD"/>
    <w:rsid w:val="00902B0D"/>
    <w:rsid w:val="009123AD"/>
    <w:rsid w:val="00A5544B"/>
    <w:rsid w:val="00AC60E2"/>
    <w:rsid w:val="00C46D3B"/>
    <w:rsid w:val="00C50FE2"/>
    <w:rsid w:val="00D13683"/>
    <w:rsid w:val="00D37EAB"/>
    <w:rsid w:val="00D90725"/>
    <w:rsid w:val="00DB2190"/>
    <w:rsid w:val="00E82D24"/>
    <w:rsid w:val="00E863AC"/>
    <w:rsid w:val="00EB27A4"/>
    <w:rsid w:val="00EC7136"/>
    <w:rsid w:val="00ED44B0"/>
    <w:rsid w:val="00F53688"/>
    <w:rsid w:val="00FA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71A8"/>
  <w15:chartTrackingRefBased/>
  <w15:docId w15:val="{56ED1CA7-2264-493F-8C8E-B581A09C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688"/>
    <w:pPr>
      <w:spacing w:after="0" w:line="240" w:lineRule="auto"/>
    </w:pPr>
  </w:style>
  <w:style w:type="paragraph" w:styleId="FootnoteText">
    <w:name w:val="footnote text"/>
    <w:basedOn w:val="Normal"/>
    <w:link w:val="FootnoteTextChar"/>
    <w:uiPriority w:val="99"/>
    <w:semiHidden/>
    <w:unhideWhenUsed/>
    <w:rsid w:val="00D13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683"/>
    <w:rPr>
      <w:sz w:val="20"/>
      <w:szCs w:val="20"/>
    </w:rPr>
  </w:style>
  <w:style w:type="character" w:styleId="FootnoteReference">
    <w:name w:val="footnote reference"/>
    <w:basedOn w:val="DefaultParagraphFont"/>
    <w:uiPriority w:val="99"/>
    <w:semiHidden/>
    <w:unhideWhenUsed/>
    <w:rsid w:val="00D13683"/>
    <w:rPr>
      <w:vertAlign w:val="superscript"/>
    </w:rPr>
  </w:style>
  <w:style w:type="character" w:styleId="Hyperlink">
    <w:name w:val="Hyperlink"/>
    <w:basedOn w:val="DefaultParagraphFont"/>
    <w:uiPriority w:val="99"/>
    <w:unhideWhenUsed/>
    <w:rsid w:val="00D13683"/>
    <w:rPr>
      <w:color w:val="0563C1" w:themeColor="hyperlink"/>
      <w:u w:val="single"/>
    </w:rPr>
  </w:style>
  <w:style w:type="character" w:styleId="UnresolvedMention">
    <w:name w:val="Unresolved Mention"/>
    <w:basedOn w:val="DefaultParagraphFont"/>
    <w:uiPriority w:val="99"/>
    <w:semiHidden/>
    <w:unhideWhenUsed/>
    <w:rsid w:val="00D13683"/>
    <w:rPr>
      <w:color w:val="605E5C"/>
      <w:shd w:val="clear" w:color="auto" w:fill="E1DFDD"/>
    </w:rPr>
  </w:style>
  <w:style w:type="paragraph" w:styleId="ListParagraph">
    <w:name w:val="List Paragraph"/>
    <w:basedOn w:val="Normal"/>
    <w:uiPriority w:val="34"/>
    <w:qFormat/>
    <w:rsid w:val="0062235E"/>
    <w:pPr>
      <w:ind w:left="720"/>
      <w:contextualSpacing/>
    </w:pPr>
  </w:style>
  <w:style w:type="paragraph" w:styleId="Header">
    <w:name w:val="header"/>
    <w:basedOn w:val="Normal"/>
    <w:link w:val="HeaderChar"/>
    <w:uiPriority w:val="99"/>
    <w:unhideWhenUsed/>
    <w:rsid w:val="00EC7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136"/>
  </w:style>
  <w:style w:type="paragraph" w:styleId="Footer">
    <w:name w:val="footer"/>
    <w:basedOn w:val="Normal"/>
    <w:link w:val="FooterChar"/>
    <w:uiPriority w:val="99"/>
    <w:unhideWhenUsed/>
    <w:rsid w:val="00EC7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wm.org.uk/memorials/item/memorial/22245" TargetMode="External"/><Relationship Id="rId2" Type="http://schemas.openxmlformats.org/officeDocument/2006/relationships/hyperlink" Target="https://www.greatwalthamwarmemorial.co.uk/%20warmemorial" TargetMode="External"/><Relationship Id="rId1" Type="http://schemas.openxmlformats.org/officeDocument/2006/relationships/hyperlink" Target="https://e-voice.org.uk/greatwalthamparish/copy-of-parish-directory/" TargetMode="External"/><Relationship Id="rId5" Type="http://schemas.openxmlformats.org/officeDocument/2006/relationships/hyperlink" Target="https://e-voice.org.uk/greatwalthamparish/copy-of-parish-directory/policy-files/" TargetMode="External"/><Relationship Id="rId4" Type="http://schemas.openxmlformats.org/officeDocument/2006/relationships/hyperlink" Target="https://www.roll-of-honour.com/Essex/FordE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BCF9-869D-461F-BF3F-A2DC0D49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Gilbert</dc:creator>
  <cp:keywords/>
  <dc:description/>
  <cp:lastModifiedBy>Steve Gilbert</cp:lastModifiedBy>
  <cp:revision>6</cp:revision>
  <dcterms:created xsi:type="dcterms:W3CDTF">2023-03-24T09:46:00Z</dcterms:created>
  <dcterms:modified xsi:type="dcterms:W3CDTF">2023-03-31T08:27:00Z</dcterms:modified>
</cp:coreProperties>
</file>