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18F5C" w14:textId="3F6CF5C0" w:rsidR="00361A04" w:rsidRDefault="001257B4">
      <w:r w:rsidRPr="0036143B">
        <w:rPr>
          <w:b/>
          <w:bCs/>
          <w:u w:val="single"/>
        </w:rPr>
        <w:t>Spend</w:t>
      </w:r>
      <w:r w:rsidRPr="0036143B"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6143B">
        <w:rPr>
          <w:b/>
          <w:bCs/>
          <w:u w:val="single"/>
        </w:rPr>
        <w:t>Income</w:t>
      </w:r>
    </w:p>
    <w:p w14:paraId="521CA7EE" w14:textId="5E2FF545" w:rsidR="001257B4" w:rsidRDefault="001257B4">
      <w:r>
        <w:t>Actual</w:t>
      </w:r>
      <w:r>
        <w:tab/>
      </w:r>
      <w:r>
        <w:tab/>
      </w:r>
      <w:r w:rsidR="001E0AE2">
        <w:t>£</w:t>
      </w:r>
      <w:r w:rsidR="006C06A0">
        <w:t>27,253.96</w:t>
      </w:r>
      <w:r>
        <w:tab/>
      </w:r>
      <w:r>
        <w:tab/>
      </w:r>
      <w:r>
        <w:tab/>
      </w:r>
      <w:r>
        <w:tab/>
      </w:r>
      <w:r>
        <w:tab/>
        <w:t>Actual</w:t>
      </w:r>
      <w:r w:rsidR="006C06A0">
        <w:t xml:space="preserve">      </w:t>
      </w:r>
      <w:r w:rsidR="001E0AE2">
        <w:t>£</w:t>
      </w:r>
      <w:r w:rsidR="006C06A0">
        <w:t>39,615.64</w:t>
      </w:r>
    </w:p>
    <w:p w14:paraId="609CCEF9" w14:textId="70E138CC" w:rsidR="001257B4" w:rsidRDefault="001257B4">
      <w:r>
        <w:t>Forecast</w:t>
      </w:r>
      <w:r>
        <w:tab/>
      </w:r>
      <w:r w:rsidR="001E0AE2">
        <w:t>£</w:t>
      </w:r>
      <w:r w:rsidR="006C06A0">
        <w:t>24,817.84</w:t>
      </w:r>
      <w:r>
        <w:tab/>
      </w:r>
      <w:r>
        <w:tab/>
      </w:r>
      <w:r>
        <w:tab/>
      </w:r>
      <w:r>
        <w:tab/>
      </w:r>
      <w:r>
        <w:tab/>
        <w:t>Forecast</w:t>
      </w:r>
      <w:r w:rsidR="006C06A0">
        <w:t xml:space="preserve">   </w:t>
      </w:r>
      <w:r w:rsidR="001E0AE2">
        <w:t>£</w:t>
      </w:r>
      <w:r w:rsidR="006C06A0">
        <w:t>37,610.60</w:t>
      </w:r>
    </w:p>
    <w:p w14:paraId="6EBA1A00" w14:textId="0B4CD70F" w:rsidR="006C06A0" w:rsidRPr="006C06A0" w:rsidRDefault="006C06A0">
      <w:pPr>
        <w:rPr>
          <w:u w:val="single"/>
        </w:rPr>
      </w:pPr>
      <w:r w:rsidRPr="006C06A0">
        <w:rPr>
          <w:u w:val="single"/>
        </w:rPr>
        <w:t>Total Spend</w:t>
      </w:r>
      <w:r w:rsidRPr="006C06A0">
        <w:rPr>
          <w:u w:val="single"/>
        </w:rPr>
        <w:tab/>
      </w:r>
      <w:r w:rsidR="001E0AE2">
        <w:rPr>
          <w:u w:val="single"/>
        </w:rPr>
        <w:t>£</w:t>
      </w:r>
      <w:r w:rsidRPr="006C06A0">
        <w:rPr>
          <w:u w:val="single"/>
        </w:rPr>
        <w:t>52,071.80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Income    </w:t>
      </w:r>
      <w:r w:rsidR="001E0AE2">
        <w:rPr>
          <w:u w:val="single"/>
        </w:rPr>
        <w:t>£</w:t>
      </w:r>
      <w:r>
        <w:rPr>
          <w:u w:val="single"/>
        </w:rPr>
        <w:t>77,226.24</w:t>
      </w:r>
    </w:p>
    <w:p w14:paraId="4972ED63" w14:textId="26198C57" w:rsidR="001257B4" w:rsidRPr="0036143B" w:rsidRDefault="0036143B" w:rsidP="0036143B">
      <w:pPr>
        <w:ind w:left="2160" w:firstLine="720"/>
        <w:rPr>
          <w:u w:val="single"/>
        </w:rPr>
      </w:pPr>
      <w:r w:rsidRPr="0036143B">
        <w:rPr>
          <w:u w:val="single"/>
        </w:rPr>
        <w:t>Balance</w:t>
      </w:r>
      <w:r w:rsidRPr="0036143B">
        <w:rPr>
          <w:u w:val="single"/>
        </w:rPr>
        <w:tab/>
      </w:r>
      <w:r w:rsidRPr="0036143B">
        <w:rPr>
          <w:u w:val="single"/>
        </w:rPr>
        <w:tab/>
        <w:t>25,144.44</w:t>
      </w:r>
    </w:p>
    <w:p w14:paraId="664FA52E" w14:textId="7323E7D2" w:rsidR="001257B4" w:rsidRDefault="0036143B">
      <w:r>
        <w:t>Top Up Capital Works</w:t>
      </w:r>
      <w:r>
        <w:tab/>
      </w:r>
      <w:r>
        <w:tab/>
      </w:r>
      <w:r w:rsidR="001E0AE2">
        <w:t>£</w:t>
      </w:r>
      <w:r>
        <w:t>21,291.00</w:t>
      </w:r>
      <w:r>
        <w:tab/>
      </w:r>
    </w:p>
    <w:p w14:paraId="32C947DE" w14:textId="43815F5F" w:rsidR="0036143B" w:rsidRDefault="0036143B">
      <w:r>
        <w:t>Top Up General Reserve</w:t>
      </w:r>
      <w:r>
        <w:tab/>
      </w:r>
      <w:r w:rsidR="001E0AE2">
        <w:t>£</w:t>
      </w:r>
      <w:r>
        <w:t>5,000</w:t>
      </w:r>
    </w:p>
    <w:p w14:paraId="1ED263C1" w14:textId="1AA8822F" w:rsidR="001257B4" w:rsidRDefault="001E0AE2">
      <w:r>
        <w:t>Forecast Overspend</w:t>
      </w:r>
      <w:r>
        <w:tab/>
      </w:r>
      <w:r>
        <w:tab/>
      </w:r>
      <w:r w:rsidRPr="001E0AE2">
        <w:rPr>
          <w:b/>
          <w:bCs/>
          <w:color w:val="FF0000"/>
          <w:u w:val="single"/>
        </w:rPr>
        <w:t>-£1</w:t>
      </w:r>
      <w:r>
        <w:rPr>
          <w:b/>
          <w:bCs/>
          <w:color w:val="FF0000"/>
          <w:u w:val="single"/>
        </w:rPr>
        <w:t>,</w:t>
      </w:r>
      <w:r w:rsidRPr="001E0AE2">
        <w:rPr>
          <w:b/>
          <w:bCs/>
          <w:color w:val="FF0000"/>
          <w:u w:val="single"/>
        </w:rPr>
        <w:t>146.56</w:t>
      </w:r>
    </w:p>
    <w:p w14:paraId="47E059B2" w14:textId="04DDE3E6" w:rsidR="009F438D" w:rsidRDefault="009F438D"/>
    <w:p w14:paraId="4F7CA70D" w14:textId="56E20E56" w:rsidR="009F438D" w:rsidRPr="009F438D" w:rsidRDefault="009F438D">
      <w:pPr>
        <w:rPr>
          <w:u w:val="single"/>
        </w:rPr>
      </w:pPr>
      <w:r w:rsidRPr="009F438D">
        <w:rPr>
          <w:u w:val="single"/>
        </w:rPr>
        <w:t>Budget Plan</w:t>
      </w:r>
    </w:p>
    <w:p w14:paraId="394CE4B1" w14:textId="70148B1B" w:rsidR="009F438D" w:rsidRDefault="00F82E7E">
      <w:r>
        <w:t>Budget</w:t>
      </w:r>
      <w:r>
        <w:tab/>
      </w:r>
      <w:r>
        <w:tab/>
        <w:t>£82,118</w:t>
      </w:r>
    </w:p>
    <w:p w14:paraId="5F29774E" w14:textId="6488E7A4" w:rsidR="00F82E7E" w:rsidRDefault="00F82E7E">
      <w:r>
        <w:t>Precept</w:t>
      </w:r>
      <w:r>
        <w:tab/>
      </w:r>
      <w:r>
        <w:tab/>
        <w:t>£73,620</w:t>
      </w:r>
    </w:p>
    <w:p w14:paraId="732B7AA8" w14:textId="3093A344" w:rsidR="00F82E7E" w:rsidRDefault="00F82E7E">
      <w:r>
        <w:t xml:space="preserve">Balance </w:t>
      </w:r>
      <w:r>
        <w:tab/>
        <w:t>£8,498</w:t>
      </w:r>
      <w:r w:rsidR="001E0AE2">
        <w:t xml:space="preserve"> Income from</w:t>
      </w:r>
      <w:r w:rsidR="001E0AE2">
        <w:tab/>
        <w:t xml:space="preserve">Allotment </w:t>
      </w:r>
      <w:r w:rsidR="001E0AE2">
        <w:tab/>
        <w:t>£773</w:t>
      </w:r>
    </w:p>
    <w:p w14:paraId="6906EBE9" w14:textId="1E77C095" w:rsidR="001E0AE2" w:rsidRDefault="001E0AE2">
      <w:r>
        <w:tab/>
      </w:r>
      <w:r>
        <w:tab/>
      </w:r>
      <w:r>
        <w:tab/>
      </w:r>
      <w:r>
        <w:tab/>
      </w:r>
      <w:r>
        <w:tab/>
        <w:t>VAT</w:t>
      </w:r>
      <w:r>
        <w:tab/>
      </w:r>
      <w:r>
        <w:tab/>
        <w:t>£7,725</w:t>
      </w:r>
    </w:p>
    <w:sectPr w:rsidR="001E0AE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A6F88" w14:textId="77777777" w:rsidR="00365396" w:rsidRDefault="00365396" w:rsidP="001257B4">
      <w:pPr>
        <w:spacing w:after="0" w:line="240" w:lineRule="auto"/>
      </w:pPr>
      <w:r>
        <w:separator/>
      </w:r>
    </w:p>
  </w:endnote>
  <w:endnote w:type="continuationSeparator" w:id="0">
    <w:p w14:paraId="5E159228" w14:textId="77777777" w:rsidR="00365396" w:rsidRDefault="00365396" w:rsidP="00125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52BD2" w14:textId="77777777" w:rsidR="00365396" w:rsidRDefault="00365396" w:rsidP="001257B4">
      <w:pPr>
        <w:spacing w:after="0" w:line="240" w:lineRule="auto"/>
      </w:pPr>
      <w:r>
        <w:separator/>
      </w:r>
    </w:p>
  </w:footnote>
  <w:footnote w:type="continuationSeparator" w:id="0">
    <w:p w14:paraId="489E6CA7" w14:textId="77777777" w:rsidR="00365396" w:rsidRDefault="00365396" w:rsidP="00125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1D322" w14:textId="744430FE" w:rsidR="001257B4" w:rsidRDefault="0036143B">
    <w:pPr>
      <w:pStyle w:val="Header"/>
    </w:pPr>
    <w:r>
      <w:t xml:space="preserve">Overview of accounts </w:t>
    </w:r>
    <w:r>
      <w:tab/>
    </w:r>
    <w:r>
      <w:tab/>
    </w:r>
    <w:r w:rsidR="001257B4">
      <w:t xml:space="preserve"> Report for F&amp;GP 25.08.2022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B4"/>
    <w:rsid w:val="00067522"/>
    <w:rsid w:val="00122129"/>
    <w:rsid w:val="001257B4"/>
    <w:rsid w:val="001E0AE2"/>
    <w:rsid w:val="003066A4"/>
    <w:rsid w:val="0036143B"/>
    <w:rsid w:val="00365396"/>
    <w:rsid w:val="003D7FE2"/>
    <w:rsid w:val="004D52FA"/>
    <w:rsid w:val="005E7EF9"/>
    <w:rsid w:val="006C06A0"/>
    <w:rsid w:val="006E73BA"/>
    <w:rsid w:val="0074486C"/>
    <w:rsid w:val="00750027"/>
    <w:rsid w:val="00825C3A"/>
    <w:rsid w:val="00900AE5"/>
    <w:rsid w:val="009A6A97"/>
    <w:rsid w:val="009F15AB"/>
    <w:rsid w:val="009F438D"/>
    <w:rsid w:val="00AC3F1B"/>
    <w:rsid w:val="00B81B7D"/>
    <w:rsid w:val="00C932AA"/>
    <w:rsid w:val="00CE77C5"/>
    <w:rsid w:val="00E41E1F"/>
    <w:rsid w:val="00E45844"/>
    <w:rsid w:val="00ED509E"/>
    <w:rsid w:val="00EE7A6F"/>
    <w:rsid w:val="00F82E7E"/>
    <w:rsid w:val="00FC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192EA"/>
  <w15:chartTrackingRefBased/>
  <w15:docId w15:val="{98A43C97-716E-4023-A8E9-B1DE212C3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5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7B4"/>
  </w:style>
  <w:style w:type="paragraph" w:styleId="Footer">
    <w:name w:val="footer"/>
    <w:basedOn w:val="Normal"/>
    <w:link w:val="FooterChar"/>
    <w:uiPriority w:val="99"/>
    <w:unhideWhenUsed/>
    <w:rsid w:val="00125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adshead-grant</dc:creator>
  <cp:keywords/>
  <dc:description/>
  <cp:lastModifiedBy>will adshead-grant</cp:lastModifiedBy>
  <cp:revision>1</cp:revision>
  <dcterms:created xsi:type="dcterms:W3CDTF">2022-08-17T19:46:00Z</dcterms:created>
  <dcterms:modified xsi:type="dcterms:W3CDTF">2022-08-17T20:17:00Z</dcterms:modified>
</cp:coreProperties>
</file>