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4CDE4" w14:textId="77777777" w:rsidR="00C758B4" w:rsidRPr="006E2FF7" w:rsidRDefault="00C758B4" w:rsidP="00C758B4">
      <w:pPr>
        <w:spacing w:before="100" w:beforeAutospacing="1" w:after="100" w:afterAutospacing="1" w:line="240" w:lineRule="auto"/>
        <w:ind w:right="-1192" w:hanging="567"/>
        <w:jc w:val="center"/>
        <w:outlineLvl w:val="0"/>
        <w:rPr>
          <w:rFonts w:ascii="Arial" w:eastAsia="Times New Roman" w:hAnsi="Arial" w:cs="Arial"/>
          <w:b/>
          <w:bCs/>
          <w:kern w:val="36"/>
          <w:sz w:val="52"/>
          <w:szCs w:val="52"/>
          <w:lang w:eastAsia="en-GB"/>
        </w:rPr>
      </w:pPr>
      <w:bookmarkStart w:id="0" w:name="_Hlk86479421"/>
      <w:bookmarkStart w:id="1" w:name="_Hlk86479784"/>
      <w:r w:rsidRPr="006E2FF7">
        <w:rPr>
          <w:rFonts w:ascii="Arial" w:eastAsia="Times New Roman" w:hAnsi="Arial" w:cs="Arial"/>
          <w:b/>
          <w:bCs/>
          <w:kern w:val="36"/>
          <w:sz w:val="52"/>
          <w:szCs w:val="52"/>
          <w:lang w:eastAsia="en-GB"/>
        </w:rPr>
        <w:t xml:space="preserve">GREAT WALTHAM PARISH COUNCIL </w:t>
      </w:r>
    </w:p>
    <w:p w14:paraId="4BFB5EF2" w14:textId="77777777" w:rsidR="00C758B4" w:rsidRPr="006E2FF7" w:rsidRDefault="00C758B4" w:rsidP="00C758B4">
      <w:pPr>
        <w:spacing w:after="0" w:line="240" w:lineRule="auto"/>
        <w:jc w:val="center"/>
        <w:rPr>
          <w:rFonts w:ascii="Arial" w:eastAsia="Times New Roman" w:hAnsi="Arial" w:cs="Arial"/>
          <w:b/>
          <w:sz w:val="52"/>
          <w:szCs w:val="52"/>
        </w:rPr>
      </w:pPr>
      <w:r>
        <w:rPr>
          <w:rFonts w:ascii="Arial" w:eastAsia="Times New Roman" w:hAnsi="Arial" w:cs="Arial"/>
          <w:b/>
          <w:sz w:val="52"/>
          <w:szCs w:val="52"/>
        </w:rPr>
        <w:t>Recreation Strategy 2023-202</w:t>
      </w:r>
      <w:r w:rsidR="00BC5D33">
        <w:rPr>
          <w:rFonts w:ascii="Arial" w:eastAsia="Times New Roman" w:hAnsi="Arial" w:cs="Arial"/>
          <w:b/>
          <w:sz w:val="52"/>
          <w:szCs w:val="52"/>
        </w:rPr>
        <w:t>7</w:t>
      </w:r>
    </w:p>
    <w:bookmarkEnd w:id="0"/>
    <w:p w14:paraId="05764FD2" w14:textId="48D73089" w:rsidR="00C758B4" w:rsidRPr="006E2FF7" w:rsidRDefault="00C758B4" w:rsidP="00C758B4">
      <w:pPr>
        <w:spacing w:before="100" w:beforeAutospacing="1" w:after="100" w:afterAutospacing="1" w:line="240" w:lineRule="auto"/>
        <w:ind w:right="95"/>
        <w:jc w:val="center"/>
        <w:outlineLvl w:val="0"/>
        <w:rPr>
          <w:rFonts w:ascii="Arial" w:eastAsia="Times New Roman" w:hAnsi="Arial" w:cs="Arial"/>
          <w:b/>
          <w:bCs/>
          <w:kern w:val="36"/>
          <w:sz w:val="24"/>
          <w:szCs w:val="24"/>
          <w:lang w:eastAsia="en-GB"/>
        </w:rPr>
      </w:pPr>
      <w:r w:rsidRPr="006E2FF7">
        <w:rPr>
          <w:rFonts w:ascii="Arial" w:eastAsia="Times New Roman" w:hAnsi="Arial" w:cs="Arial"/>
          <w:b/>
          <w:bCs/>
          <w:kern w:val="36"/>
          <w:sz w:val="24"/>
          <w:szCs w:val="24"/>
          <w:lang w:eastAsia="en-GB"/>
        </w:rPr>
        <w:t xml:space="preserve">Version </w:t>
      </w:r>
      <w:r w:rsidR="008A4B70">
        <w:rPr>
          <w:rFonts w:ascii="Arial" w:eastAsia="Times New Roman" w:hAnsi="Arial" w:cs="Arial"/>
          <w:b/>
          <w:bCs/>
          <w:kern w:val="36"/>
          <w:sz w:val="24"/>
          <w:szCs w:val="24"/>
          <w:lang w:eastAsia="en-GB"/>
        </w:rPr>
        <w:t>2</w:t>
      </w:r>
    </w:p>
    <w:p w14:paraId="26E0DFF7" w14:textId="77777777" w:rsidR="00C758B4" w:rsidRPr="006E2FF7" w:rsidRDefault="00C758B4" w:rsidP="00C758B4">
      <w:pPr>
        <w:spacing w:before="100" w:beforeAutospacing="1" w:after="100" w:afterAutospacing="1" w:line="240" w:lineRule="auto"/>
        <w:ind w:right="-1192" w:hanging="567"/>
        <w:jc w:val="center"/>
        <w:outlineLvl w:val="0"/>
        <w:rPr>
          <w:rFonts w:ascii="Arial" w:eastAsia="Times New Roman" w:hAnsi="Arial" w:cs="Arial"/>
          <w:b/>
          <w:bCs/>
          <w:kern w:val="36"/>
          <w:sz w:val="24"/>
          <w:szCs w:val="24"/>
          <w:lang w:eastAsia="en-GB"/>
        </w:rPr>
      </w:pPr>
    </w:p>
    <w:p w14:paraId="1BFCD4CF" w14:textId="77777777" w:rsidR="00C758B4" w:rsidRPr="006E2FF7" w:rsidRDefault="00C758B4" w:rsidP="00C758B4">
      <w:pPr>
        <w:spacing w:before="100" w:beforeAutospacing="1" w:after="100" w:afterAutospacing="1" w:line="240" w:lineRule="auto"/>
        <w:ind w:right="95"/>
        <w:jc w:val="center"/>
        <w:outlineLvl w:val="0"/>
        <w:rPr>
          <w:rFonts w:ascii="Arial" w:eastAsia="Times New Roman" w:hAnsi="Arial" w:cs="Arial"/>
          <w:bCs/>
          <w:i/>
          <w:kern w:val="36"/>
          <w:sz w:val="24"/>
          <w:szCs w:val="24"/>
          <w:lang w:eastAsia="en-GB"/>
        </w:rPr>
      </w:pPr>
      <w:bookmarkStart w:id="2" w:name="_Hlk86481049"/>
      <w:r w:rsidRPr="006E2FF7">
        <w:rPr>
          <w:rFonts w:ascii="Arial" w:eastAsia="Times New Roman" w:hAnsi="Arial" w:cs="Arial"/>
          <w:bCs/>
          <w:i/>
          <w:kern w:val="36"/>
          <w:sz w:val="24"/>
          <w:szCs w:val="24"/>
          <w:lang w:eastAsia="en-GB"/>
        </w:rPr>
        <w:t>This policy document should be reviewed and updated as necessary</w:t>
      </w:r>
    </w:p>
    <w:p w14:paraId="4D7CC704" w14:textId="77777777" w:rsidR="00C758B4" w:rsidRPr="006E2FF7" w:rsidRDefault="00C758B4" w:rsidP="00C758B4">
      <w:pPr>
        <w:autoSpaceDE w:val="0"/>
        <w:autoSpaceDN w:val="0"/>
        <w:adjustRightInd w:val="0"/>
        <w:spacing w:after="0" w:line="240" w:lineRule="auto"/>
        <w:rPr>
          <w:rFonts w:ascii="Arial" w:eastAsia="Times New Roman" w:hAnsi="Arial" w:cs="Arial"/>
          <w:b/>
          <w:bCs/>
          <w:sz w:val="28"/>
          <w:szCs w:val="28"/>
          <w:lang w:val="en-US"/>
        </w:rPr>
      </w:pPr>
    </w:p>
    <w:tbl>
      <w:tblPr>
        <w:tblStyle w:val="TableGrid"/>
        <w:tblpPr w:leftFromText="180" w:rightFromText="180" w:vertAnchor="text" w:horzAnchor="margin" w:tblpXSpec="center" w:tblpY="30"/>
        <w:tblOverlap w:val="never"/>
        <w:tblW w:w="8613" w:type="dxa"/>
        <w:tblLook w:val="04A0" w:firstRow="1" w:lastRow="0" w:firstColumn="1" w:lastColumn="0" w:noHBand="0" w:noVBand="1"/>
      </w:tblPr>
      <w:tblGrid>
        <w:gridCol w:w="1242"/>
        <w:gridCol w:w="1843"/>
        <w:gridCol w:w="1985"/>
        <w:gridCol w:w="3543"/>
      </w:tblGrid>
      <w:tr w:rsidR="00C758B4" w:rsidRPr="006E2FF7" w14:paraId="661BBE40" w14:textId="77777777" w:rsidTr="00D04E73">
        <w:tc>
          <w:tcPr>
            <w:tcW w:w="1242" w:type="dxa"/>
          </w:tcPr>
          <w:p w14:paraId="46EBB8AC" w14:textId="77777777" w:rsidR="00C758B4" w:rsidRPr="006E2FF7" w:rsidRDefault="00C758B4" w:rsidP="00D04E73">
            <w:pPr>
              <w:jc w:val="center"/>
              <w:rPr>
                <w:rFonts w:ascii="Arial" w:hAnsi="Arial" w:cs="Arial"/>
                <w:b/>
                <w:sz w:val="22"/>
                <w:szCs w:val="22"/>
                <w:lang w:val="en-US"/>
              </w:rPr>
            </w:pPr>
            <w:r w:rsidRPr="006E2FF7">
              <w:rPr>
                <w:rFonts w:ascii="Arial" w:hAnsi="Arial" w:cs="Arial"/>
                <w:b/>
                <w:sz w:val="22"/>
                <w:szCs w:val="22"/>
                <w:lang w:val="en-US"/>
              </w:rPr>
              <w:t>Version</w:t>
            </w:r>
          </w:p>
        </w:tc>
        <w:tc>
          <w:tcPr>
            <w:tcW w:w="1843" w:type="dxa"/>
          </w:tcPr>
          <w:p w14:paraId="5C187E9E" w14:textId="77777777" w:rsidR="00C758B4" w:rsidRPr="006E2FF7" w:rsidRDefault="00C758B4" w:rsidP="00D04E73">
            <w:pPr>
              <w:jc w:val="center"/>
              <w:rPr>
                <w:rFonts w:ascii="Arial" w:hAnsi="Arial" w:cs="Arial"/>
                <w:b/>
                <w:sz w:val="22"/>
                <w:szCs w:val="22"/>
                <w:lang w:val="en-US"/>
              </w:rPr>
            </w:pPr>
            <w:r w:rsidRPr="006E2FF7">
              <w:rPr>
                <w:rFonts w:ascii="Arial" w:hAnsi="Arial" w:cs="Arial"/>
                <w:b/>
                <w:sz w:val="22"/>
                <w:szCs w:val="22"/>
                <w:lang w:val="en-US"/>
              </w:rPr>
              <w:t>Review Date</w:t>
            </w:r>
          </w:p>
        </w:tc>
        <w:tc>
          <w:tcPr>
            <w:tcW w:w="1985" w:type="dxa"/>
          </w:tcPr>
          <w:p w14:paraId="32BE4EF6" w14:textId="77777777" w:rsidR="00C758B4" w:rsidRPr="006E2FF7" w:rsidRDefault="00C758B4" w:rsidP="00D04E73">
            <w:pPr>
              <w:jc w:val="center"/>
              <w:rPr>
                <w:rFonts w:ascii="Arial" w:hAnsi="Arial" w:cs="Arial"/>
                <w:b/>
                <w:sz w:val="22"/>
                <w:szCs w:val="22"/>
                <w:lang w:val="en-US"/>
              </w:rPr>
            </w:pPr>
            <w:r w:rsidRPr="006E2FF7">
              <w:rPr>
                <w:rFonts w:ascii="Arial" w:hAnsi="Arial" w:cs="Arial"/>
                <w:b/>
                <w:sz w:val="22"/>
                <w:szCs w:val="22"/>
                <w:lang w:val="en-US"/>
              </w:rPr>
              <w:t>Reviewed By</w:t>
            </w:r>
          </w:p>
        </w:tc>
        <w:tc>
          <w:tcPr>
            <w:tcW w:w="3543" w:type="dxa"/>
          </w:tcPr>
          <w:p w14:paraId="49E80BDB" w14:textId="77777777" w:rsidR="00C758B4" w:rsidRPr="006E2FF7" w:rsidRDefault="00C758B4" w:rsidP="00D04E73">
            <w:pPr>
              <w:jc w:val="center"/>
              <w:rPr>
                <w:rFonts w:ascii="Arial" w:hAnsi="Arial" w:cs="Arial"/>
                <w:b/>
                <w:sz w:val="22"/>
                <w:szCs w:val="22"/>
                <w:lang w:val="en-US"/>
              </w:rPr>
            </w:pPr>
            <w:r w:rsidRPr="006E2FF7">
              <w:rPr>
                <w:rFonts w:ascii="Arial" w:hAnsi="Arial" w:cs="Arial"/>
                <w:b/>
                <w:sz w:val="22"/>
                <w:szCs w:val="22"/>
                <w:lang w:val="en-US"/>
              </w:rPr>
              <w:t>Summary of Changes</w:t>
            </w:r>
          </w:p>
        </w:tc>
      </w:tr>
      <w:tr w:rsidR="00C758B4" w:rsidRPr="006E2FF7" w14:paraId="5F4ADFA4" w14:textId="77777777" w:rsidTr="00D04E73">
        <w:tc>
          <w:tcPr>
            <w:tcW w:w="1242" w:type="dxa"/>
            <w:vAlign w:val="center"/>
          </w:tcPr>
          <w:p w14:paraId="515E9A74" w14:textId="77777777" w:rsidR="00C758B4" w:rsidRPr="006E2FF7" w:rsidRDefault="00C758B4" w:rsidP="00D04E73">
            <w:pPr>
              <w:jc w:val="center"/>
              <w:rPr>
                <w:rFonts w:ascii="Arial" w:hAnsi="Arial" w:cs="Arial"/>
                <w:sz w:val="22"/>
                <w:szCs w:val="22"/>
                <w:lang w:val="en-US"/>
              </w:rPr>
            </w:pPr>
            <w:r w:rsidRPr="00BA1F6D">
              <w:rPr>
                <w:rFonts w:ascii="Arial" w:hAnsi="Arial" w:cs="Arial"/>
                <w:sz w:val="22"/>
                <w:szCs w:val="22"/>
                <w:lang w:val="en-US"/>
              </w:rPr>
              <w:t>1</w:t>
            </w:r>
          </w:p>
        </w:tc>
        <w:tc>
          <w:tcPr>
            <w:tcW w:w="1843" w:type="dxa"/>
            <w:vAlign w:val="center"/>
          </w:tcPr>
          <w:p w14:paraId="355841FD" w14:textId="77777777" w:rsidR="00C758B4" w:rsidRPr="006E2FF7" w:rsidRDefault="00C758B4" w:rsidP="00D04E73">
            <w:pPr>
              <w:jc w:val="center"/>
              <w:rPr>
                <w:rFonts w:ascii="Arial" w:hAnsi="Arial" w:cs="Arial"/>
                <w:sz w:val="22"/>
                <w:szCs w:val="22"/>
                <w:lang w:val="en-US"/>
              </w:rPr>
            </w:pPr>
            <w:r>
              <w:rPr>
                <w:rFonts w:ascii="Arial" w:hAnsi="Arial" w:cs="Arial"/>
                <w:sz w:val="22"/>
                <w:szCs w:val="22"/>
                <w:lang w:val="en-US"/>
              </w:rPr>
              <w:t>March 2023</w:t>
            </w:r>
          </w:p>
        </w:tc>
        <w:tc>
          <w:tcPr>
            <w:tcW w:w="1985" w:type="dxa"/>
            <w:vAlign w:val="center"/>
          </w:tcPr>
          <w:p w14:paraId="15E84554" w14:textId="77777777" w:rsidR="00C758B4" w:rsidRPr="006E2FF7" w:rsidRDefault="00C758B4" w:rsidP="00D04E73">
            <w:pPr>
              <w:jc w:val="center"/>
              <w:rPr>
                <w:rFonts w:ascii="Arial" w:hAnsi="Arial" w:cs="Arial"/>
                <w:sz w:val="22"/>
                <w:szCs w:val="22"/>
                <w:lang w:val="en-US"/>
              </w:rPr>
            </w:pPr>
            <w:r w:rsidRPr="00BA1F6D">
              <w:rPr>
                <w:rFonts w:ascii="Arial" w:hAnsi="Arial" w:cs="Arial"/>
                <w:sz w:val="22"/>
                <w:szCs w:val="22"/>
                <w:lang w:val="en-US"/>
              </w:rPr>
              <w:t>S. Gilbert</w:t>
            </w:r>
          </w:p>
        </w:tc>
        <w:tc>
          <w:tcPr>
            <w:tcW w:w="3543" w:type="dxa"/>
            <w:vAlign w:val="center"/>
          </w:tcPr>
          <w:p w14:paraId="0AB866C2" w14:textId="77777777" w:rsidR="00C758B4" w:rsidRPr="006E2FF7" w:rsidRDefault="00C758B4" w:rsidP="00D04E73">
            <w:pPr>
              <w:jc w:val="both"/>
              <w:rPr>
                <w:rFonts w:ascii="Arial" w:hAnsi="Arial" w:cs="Arial"/>
                <w:sz w:val="22"/>
                <w:szCs w:val="22"/>
                <w:lang w:val="en-US"/>
              </w:rPr>
            </w:pPr>
            <w:r>
              <w:rPr>
                <w:rFonts w:ascii="Arial" w:hAnsi="Arial" w:cs="Arial"/>
                <w:sz w:val="22"/>
                <w:szCs w:val="22"/>
                <w:lang w:val="en-US"/>
              </w:rPr>
              <w:t>New document.</w:t>
            </w:r>
          </w:p>
        </w:tc>
      </w:tr>
      <w:tr w:rsidR="00C758B4" w:rsidRPr="006E2FF7" w14:paraId="2B72312A" w14:textId="77777777" w:rsidTr="00D04E73">
        <w:tc>
          <w:tcPr>
            <w:tcW w:w="1242" w:type="dxa"/>
            <w:vAlign w:val="center"/>
          </w:tcPr>
          <w:p w14:paraId="56727523" w14:textId="0720BBC0" w:rsidR="00C758B4" w:rsidRPr="00BA1F6D" w:rsidRDefault="00D528D7" w:rsidP="00D04E73">
            <w:pPr>
              <w:jc w:val="center"/>
              <w:rPr>
                <w:rFonts w:ascii="Arial" w:hAnsi="Arial" w:cs="Arial"/>
                <w:sz w:val="22"/>
                <w:szCs w:val="22"/>
                <w:lang w:val="en-US"/>
              </w:rPr>
            </w:pPr>
            <w:r>
              <w:rPr>
                <w:rFonts w:ascii="Arial" w:hAnsi="Arial" w:cs="Arial"/>
                <w:sz w:val="22"/>
                <w:szCs w:val="22"/>
                <w:lang w:val="en-US"/>
              </w:rPr>
              <w:t>2</w:t>
            </w:r>
          </w:p>
        </w:tc>
        <w:tc>
          <w:tcPr>
            <w:tcW w:w="1843" w:type="dxa"/>
            <w:vAlign w:val="center"/>
          </w:tcPr>
          <w:p w14:paraId="0004A266" w14:textId="6A1C541C" w:rsidR="00C758B4" w:rsidRPr="00BA1F6D" w:rsidRDefault="00D528D7" w:rsidP="00F80090">
            <w:pPr>
              <w:jc w:val="center"/>
              <w:rPr>
                <w:rFonts w:ascii="Arial" w:hAnsi="Arial" w:cs="Arial"/>
                <w:sz w:val="22"/>
                <w:szCs w:val="22"/>
                <w:lang w:val="en-US"/>
              </w:rPr>
            </w:pPr>
            <w:r>
              <w:rPr>
                <w:rFonts w:ascii="Arial" w:hAnsi="Arial" w:cs="Arial"/>
                <w:sz w:val="22"/>
                <w:szCs w:val="22"/>
                <w:lang w:val="en-US"/>
              </w:rPr>
              <w:t>August 2024</w:t>
            </w:r>
          </w:p>
        </w:tc>
        <w:tc>
          <w:tcPr>
            <w:tcW w:w="1985" w:type="dxa"/>
            <w:vAlign w:val="center"/>
          </w:tcPr>
          <w:p w14:paraId="4CD6DEFF" w14:textId="16407895" w:rsidR="00C758B4" w:rsidRPr="00BA1F6D" w:rsidRDefault="00D528D7" w:rsidP="00D04E73">
            <w:pPr>
              <w:jc w:val="center"/>
              <w:rPr>
                <w:rFonts w:ascii="Arial" w:hAnsi="Arial" w:cs="Arial"/>
                <w:sz w:val="22"/>
                <w:szCs w:val="22"/>
                <w:lang w:val="en-US"/>
              </w:rPr>
            </w:pPr>
            <w:r>
              <w:rPr>
                <w:rFonts w:ascii="Arial" w:hAnsi="Arial" w:cs="Arial"/>
                <w:sz w:val="22"/>
                <w:szCs w:val="22"/>
                <w:lang w:val="en-US"/>
              </w:rPr>
              <w:t>S. Gilbert</w:t>
            </w:r>
          </w:p>
        </w:tc>
        <w:tc>
          <w:tcPr>
            <w:tcW w:w="3543" w:type="dxa"/>
            <w:vAlign w:val="center"/>
          </w:tcPr>
          <w:p w14:paraId="4650911D" w14:textId="77777777" w:rsidR="008A4B70" w:rsidRDefault="008A4B70" w:rsidP="00F80090">
            <w:pPr>
              <w:pStyle w:val="ListParagraph"/>
              <w:numPr>
                <w:ilvl w:val="0"/>
                <w:numId w:val="7"/>
              </w:numPr>
              <w:ind w:left="209" w:hanging="218"/>
              <w:rPr>
                <w:lang w:val="en-US"/>
              </w:rPr>
            </w:pPr>
            <w:r w:rsidRPr="008A4B70">
              <w:rPr>
                <w:lang w:val="en-US"/>
              </w:rPr>
              <w:t>Update on facilities at Great Waltham Recreation Ground (s.2.1)</w:t>
            </w:r>
          </w:p>
          <w:p w14:paraId="6A34B398" w14:textId="77777777" w:rsidR="008A4B70" w:rsidRDefault="00DA2B67" w:rsidP="00F80090">
            <w:pPr>
              <w:pStyle w:val="ListParagraph"/>
              <w:numPr>
                <w:ilvl w:val="0"/>
                <w:numId w:val="7"/>
              </w:numPr>
              <w:ind w:left="209" w:hanging="218"/>
              <w:rPr>
                <w:lang w:val="en-US"/>
              </w:rPr>
            </w:pPr>
            <w:r w:rsidRPr="008A4B70">
              <w:rPr>
                <w:lang w:val="en-US"/>
              </w:rPr>
              <w:t>Clarification of other land owned/administered (s.2.5).</w:t>
            </w:r>
          </w:p>
          <w:p w14:paraId="1733BA22" w14:textId="77777777" w:rsidR="008A4B70" w:rsidRDefault="008A4B70" w:rsidP="00F80090">
            <w:pPr>
              <w:pStyle w:val="ListParagraph"/>
              <w:numPr>
                <w:ilvl w:val="0"/>
                <w:numId w:val="7"/>
              </w:numPr>
              <w:ind w:left="209" w:hanging="218"/>
              <w:rPr>
                <w:lang w:val="en-US"/>
              </w:rPr>
            </w:pPr>
            <w:r w:rsidRPr="008A4B70">
              <w:rPr>
                <w:lang w:val="en-US"/>
              </w:rPr>
              <w:t>Reference to annual fire risk assessment at the Pavilion (s.5.2).</w:t>
            </w:r>
          </w:p>
          <w:p w14:paraId="6A35C277" w14:textId="0AC04A3C" w:rsidR="00DA2B67" w:rsidRPr="008A4B70" w:rsidRDefault="00DA2B67" w:rsidP="00F80090">
            <w:pPr>
              <w:pStyle w:val="ListParagraph"/>
              <w:numPr>
                <w:ilvl w:val="0"/>
                <w:numId w:val="7"/>
              </w:numPr>
              <w:ind w:left="209" w:hanging="218"/>
              <w:rPr>
                <w:lang w:val="en-US"/>
              </w:rPr>
            </w:pPr>
            <w:r w:rsidRPr="008A4B70">
              <w:rPr>
                <w:lang w:val="en-US"/>
              </w:rPr>
              <w:t>Reference to Great Waltham Recreation Ground Play Area working group (s.6.1.2).</w:t>
            </w:r>
          </w:p>
        </w:tc>
      </w:tr>
      <w:tr w:rsidR="00C758B4" w:rsidRPr="006E2FF7" w14:paraId="73956CA3" w14:textId="77777777" w:rsidTr="00D04E73">
        <w:tc>
          <w:tcPr>
            <w:tcW w:w="1242" w:type="dxa"/>
            <w:vAlign w:val="center"/>
          </w:tcPr>
          <w:p w14:paraId="56D4DB3E" w14:textId="77777777" w:rsidR="00C758B4" w:rsidRPr="006E2FF7" w:rsidRDefault="00C758B4" w:rsidP="00D04E73">
            <w:pPr>
              <w:jc w:val="center"/>
              <w:rPr>
                <w:rFonts w:ascii="Arial" w:hAnsi="Arial" w:cs="Arial"/>
                <w:sz w:val="22"/>
                <w:szCs w:val="22"/>
                <w:lang w:val="en-US"/>
              </w:rPr>
            </w:pPr>
          </w:p>
        </w:tc>
        <w:tc>
          <w:tcPr>
            <w:tcW w:w="1843" w:type="dxa"/>
            <w:vAlign w:val="center"/>
          </w:tcPr>
          <w:p w14:paraId="3EEBC233" w14:textId="77777777" w:rsidR="00C758B4" w:rsidRPr="006E2FF7" w:rsidRDefault="00C758B4" w:rsidP="00D04E73">
            <w:pPr>
              <w:rPr>
                <w:rFonts w:ascii="Arial" w:hAnsi="Arial" w:cs="Arial"/>
                <w:sz w:val="22"/>
                <w:szCs w:val="22"/>
                <w:lang w:val="en-US"/>
              </w:rPr>
            </w:pPr>
          </w:p>
        </w:tc>
        <w:tc>
          <w:tcPr>
            <w:tcW w:w="1985" w:type="dxa"/>
            <w:vAlign w:val="center"/>
          </w:tcPr>
          <w:p w14:paraId="7585EED9" w14:textId="77777777" w:rsidR="00C758B4" w:rsidRPr="006E2FF7" w:rsidRDefault="00C758B4" w:rsidP="00D04E73">
            <w:pPr>
              <w:jc w:val="center"/>
              <w:rPr>
                <w:rFonts w:ascii="Arial" w:hAnsi="Arial" w:cs="Arial"/>
                <w:sz w:val="22"/>
                <w:szCs w:val="22"/>
                <w:lang w:val="en-US"/>
              </w:rPr>
            </w:pPr>
          </w:p>
        </w:tc>
        <w:tc>
          <w:tcPr>
            <w:tcW w:w="3543" w:type="dxa"/>
            <w:vAlign w:val="center"/>
          </w:tcPr>
          <w:p w14:paraId="2E28F03F" w14:textId="77777777" w:rsidR="00C758B4" w:rsidRPr="006E2FF7" w:rsidRDefault="00C758B4" w:rsidP="00D04E73">
            <w:pPr>
              <w:rPr>
                <w:rFonts w:ascii="Arial" w:hAnsi="Arial" w:cs="Arial"/>
                <w:sz w:val="22"/>
                <w:szCs w:val="22"/>
                <w:lang w:val="en-US"/>
              </w:rPr>
            </w:pPr>
          </w:p>
        </w:tc>
      </w:tr>
      <w:tr w:rsidR="00C758B4" w:rsidRPr="006E2FF7" w14:paraId="24CAA932" w14:textId="77777777" w:rsidTr="00D04E73">
        <w:tc>
          <w:tcPr>
            <w:tcW w:w="1242" w:type="dxa"/>
            <w:vAlign w:val="center"/>
          </w:tcPr>
          <w:p w14:paraId="46759B8E" w14:textId="77777777" w:rsidR="00C758B4" w:rsidRPr="006E2FF7" w:rsidRDefault="00C758B4" w:rsidP="00D04E73">
            <w:pPr>
              <w:jc w:val="center"/>
              <w:rPr>
                <w:rFonts w:ascii="Arial" w:hAnsi="Arial" w:cs="Arial"/>
                <w:sz w:val="22"/>
                <w:szCs w:val="22"/>
                <w:lang w:val="en-US"/>
              </w:rPr>
            </w:pPr>
          </w:p>
        </w:tc>
        <w:tc>
          <w:tcPr>
            <w:tcW w:w="1843" w:type="dxa"/>
            <w:vAlign w:val="center"/>
          </w:tcPr>
          <w:p w14:paraId="28DD779F" w14:textId="77777777" w:rsidR="00C758B4" w:rsidRPr="006E2FF7" w:rsidRDefault="00C758B4" w:rsidP="00D04E73">
            <w:pPr>
              <w:jc w:val="center"/>
              <w:rPr>
                <w:rFonts w:ascii="Arial" w:hAnsi="Arial" w:cs="Arial"/>
                <w:sz w:val="22"/>
                <w:szCs w:val="22"/>
                <w:lang w:val="en-US"/>
              </w:rPr>
            </w:pPr>
          </w:p>
        </w:tc>
        <w:tc>
          <w:tcPr>
            <w:tcW w:w="1985" w:type="dxa"/>
            <w:vAlign w:val="center"/>
          </w:tcPr>
          <w:p w14:paraId="5342CADA" w14:textId="77777777" w:rsidR="00C758B4" w:rsidRPr="006E2FF7" w:rsidRDefault="00C758B4" w:rsidP="00D04E73">
            <w:pPr>
              <w:jc w:val="center"/>
              <w:rPr>
                <w:rFonts w:ascii="Arial" w:hAnsi="Arial" w:cs="Arial"/>
                <w:sz w:val="22"/>
                <w:szCs w:val="22"/>
                <w:lang w:val="en-US"/>
              </w:rPr>
            </w:pPr>
          </w:p>
        </w:tc>
        <w:tc>
          <w:tcPr>
            <w:tcW w:w="3543" w:type="dxa"/>
            <w:vAlign w:val="center"/>
          </w:tcPr>
          <w:p w14:paraId="446D00F6" w14:textId="77777777" w:rsidR="00C758B4" w:rsidRPr="006E2FF7" w:rsidRDefault="00C758B4" w:rsidP="00D04E73">
            <w:pPr>
              <w:rPr>
                <w:rFonts w:ascii="Arial" w:hAnsi="Arial" w:cs="Arial"/>
                <w:sz w:val="22"/>
                <w:szCs w:val="22"/>
                <w:lang w:val="en-US"/>
              </w:rPr>
            </w:pPr>
          </w:p>
        </w:tc>
      </w:tr>
      <w:tr w:rsidR="00C758B4" w:rsidRPr="006E2FF7" w14:paraId="63E59D91" w14:textId="77777777" w:rsidTr="00D04E73">
        <w:tc>
          <w:tcPr>
            <w:tcW w:w="1242" w:type="dxa"/>
            <w:vAlign w:val="center"/>
          </w:tcPr>
          <w:p w14:paraId="0DC9B61D" w14:textId="77777777" w:rsidR="00C758B4" w:rsidRPr="006E2FF7" w:rsidRDefault="00C758B4" w:rsidP="00D04E73">
            <w:pPr>
              <w:rPr>
                <w:rFonts w:ascii="Arial" w:hAnsi="Arial" w:cs="Arial"/>
                <w:sz w:val="22"/>
                <w:szCs w:val="22"/>
                <w:lang w:val="en-US"/>
              </w:rPr>
            </w:pPr>
          </w:p>
        </w:tc>
        <w:tc>
          <w:tcPr>
            <w:tcW w:w="1843" w:type="dxa"/>
            <w:vAlign w:val="center"/>
          </w:tcPr>
          <w:p w14:paraId="0E5C2CF0" w14:textId="77777777" w:rsidR="00C758B4" w:rsidRPr="006E2FF7" w:rsidRDefault="00C758B4" w:rsidP="00D04E73">
            <w:pPr>
              <w:rPr>
                <w:rFonts w:ascii="Arial" w:hAnsi="Arial" w:cs="Arial"/>
                <w:sz w:val="22"/>
                <w:szCs w:val="22"/>
                <w:lang w:val="en-US"/>
              </w:rPr>
            </w:pPr>
          </w:p>
        </w:tc>
        <w:tc>
          <w:tcPr>
            <w:tcW w:w="1985" w:type="dxa"/>
            <w:vAlign w:val="center"/>
          </w:tcPr>
          <w:p w14:paraId="0134A1B9" w14:textId="77777777" w:rsidR="00C758B4" w:rsidRPr="006E2FF7" w:rsidRDefault="00C758B4" w:rsidP="00D04E73">
            <w:pPr>
              <w:rPr>
                <w:rFonts w:ascii="Arial" w:hAnsi="Arial" w:cs="Arial"/>
                <w:sz w:val="22"/>
                <w:szCs w:val="22"/>
                <w:lang w:val="en-US"/>
              </w:rPr>
            </w:pPr>
          </w:p>
        </w:tc>
        <w:tc>
          <w:tcPr>
            <w:tcW w:w="3543" w:type="dxa"/>
            <w:vAlign w:val="center"/>
          </w:tcPr>
          <w:p w14:paraId="5B2CE1F7" w14:textId="77777777" w:rsidR="00C758B4" w:rsidRPr="006E2FF7" w:rsidRDefault="00C758B4" w:rsidP="00D04E73">
            <w:pPr>
              <w:rPr>
                <w:rFonts w:ascii="Arial" w:hAnsi="Arial" w:cs="Arial"/>
                <w:sz w:val="22"/>
                <w:szCs w:val="22"/>
                <w:lang w:val="en-US"/>
              </w:rPr>
            </w:pPr>
          </w:p>
        </w:tc>
      </w:tr>
    </w:tbl>
    <w:p w14:paraId="7ADAAB00" w14:textId="77777777" w:rsidR="00C758B4" w:rsidRPr="006E2FF7" w:rsidRDefault="00C758B4" w:rsidP="00C758B4">
      <w:pPr>
        <w:autoSpaceDE w:val="0"/>
        <w:autoSpaceDN w:val="0"/>
        <w:adjustRightInd w:val="0"/>
        <w:spacing w:after="0" w:line="240" w:lineRule="auto"/>
        <w:rPr>
          <w:rFonts w:ascii="Arial" w:eastAsia="Times New Roman" w:hAnsi="Arial" w:cs="Arial"/>
          <w:b/>
          <w:bCs/>
          <w:sz w:val="28"/>
          <w:szCs w:val="28"/>
          <w:lang w:val="en-US"/>
        </w:rPr>
      </w:pPr>
    </w:p>
    <w:bookmarkEnd w:id="1"/>
    <w:bookmarkEnd w:id="2"/>
    <w:p w14:paraId="31DF0B59" w14:textId="77777777" w:rsidR="00C758B4" w:rsidRPr="006E2FF7" w:rsidRDefault="00C758B4" w:rsidP="00C758B4">
      <w:pPr>
        <w:autoSpaceDE w:val="0"/>
        <w:autoSpaceDN w:val="0"/>
        <w:adjustRightInd w:val="0"/>
        <w:spacing w:after="0" w:line="240" w:lineRule="auto"/>
        <w:rPr>
          <w:rFonts w:ascii="Arial" w:eastAsia="Times New Roman" w:hAnsi="Arial" w:cs="Arial"/>
          <w:b/>
          <w:bCs/>
          <w:sz w:val="28"/>
          <w:szCs w:val="28"/>
          <w:lang w:val="en-US"/>
        </w:rPr>
      </w:pPr>
    </w:p>
    <w:p w14:paraId="54C321FC" w14:textId="77777777" w:rsidR="00C758B4" w:rsidRPr="006E2FF7" w:rsidRDefault="00C758B4" w:rsidP="00C758B4">
      <w:pPr>
        <w:autoSpaceDE w:val="0"/>
        <w:autoSpaceDN w:val="0"/>
        <w:adjustRightInd w:val="0"/>
        <w:spacing w:after="0" w:line="240" w:lineRule="auto"/>
        <w:rPr>
          <w:rFonts w:ascii="Arial" w:eastAsia="Times New Roman" w:hAnsi="Arial" w:cs="Arial"/>
          <w:b/>
          <w:bCs/>
          <w:sz w:val="28"/>
          <w:szCs w:val="28"/>
          <w:lang w:val="en-US"/>
        </w:rPr>
      </w:pPr>
    </w:p>
    <w:p w14:paraId="5CFB936B" w14:textId="77777777" w:rsidR="00C758B4" w:rsidRPr="006E2FF7" w:rsidRDefault="00C758B4" w:rsidP="00C758B4">
      <w:pPr>
        <w:autoSpaceDE w:val="0"/>
        <w:autoSpaceDN w:val="0"/>
        <w:adjustRightInd w:val="0"/>
        <w:spacing w:after="0" w:line="240" w:lineRule="auto"/>
        <w:rPr>
          <w:rFonts w:ascii="Arial" w:eastAsia="Times New Roman" w:hAnsi="Arial" w:cs="Arial"/>
          <w:b/>
          <w:bCs/>
          <w:sz w:val="28"/>
          <w:szCs w:val="28"/>
          <w:lang w:val="en-US"/>
        </w:rPr>
      </w:pPr>
    </w:p>
    <w:p w14:paraId="3A5345AA" w14:textId="77777777" w:rsidR="00C758B4" w:rsidRPr="006E2FF7" w:rsidRDefault="00C758B4" w:rsidP="00C758B4">
      <w:pPr>
        <w:autoSpaceDE w:val="0"/>
        <w:autoSpaceDN w:val="0"/>
        <w:adjustRightInd w:val="0"/>
        <w:spacing w:after="0" w:line="240" w:lineRule="auto"/>
        <w:rPr>
          <w:rFonts w:ascii="Arial" w:eastAsia="Times New Roman" w:hAnsi="Arial" w:cs="Arial"/>
          <w:b/>
          <w:bCs/>
          <w:sz w:val="28"/>
          <w:szCs w:val="28"/>
          <w:lang w:val="en-US"/>
        </w:rPr>
      </w:pPr>
    </w:p>
    <w:p w14:paraId="27A463C6" w14:textId="77777777" w:rsidR="00C758B4" w:rsidRPr="006E2FF7" w:rsidRDefault="00C758B4" w:rsidP="00C758B4">
      <w:pPr>
        <w:autoSpaceDE w:val="0"/>
        <w:autoSpaceDN w:val="0"/>
        <w:adjustRightInd w:val="0"/>
        <w:spacing w:after="0" w:line="240" w:lineRule="auto"/>
        <w:rPr>
          <w:rFonts w:ascii="Arial" w:eastAsia="Times New Roman" w:hAnsi="Arial" w:cs="Arial"/>
          <w:b/>
          <w:bCs/>
          <w:sz w:val="28"/>
          <w:szCs w:val="28"/>
          <w:lang w:val="en-US"/>
        </w:rPr>
      </w:pPr>
    </w:p>
    <w:p w14:paraId="689474AD" w14:textId="77777777" w:rsidR="00C758B4" w:rsidRPr="006E2FF7" w:rsidRDefault="00C758B4" w:rsidP="00C758B4">
      <w:pPr>
        <w:spacing w:after="0" w:line="240" w:lineRule="auto"/>
        <w:rPr>
          <w:rFonts w:ascii="Times New Roman" w:eastAsia="Times New Roman" w:hAnsi="Times New Roman" w:cs="Times New Roman"/>
          <w:sz w:val="20"/>
          <w:szCs w:val="20"/>
          <w:lang w:val="en-US"/>
        </w:rPr>
      </w:pPr>
    </w:p>
    <w:p w14:paraId="224CF135" w14:textId="77777777" w:rsidR="00C758B4" w:rsidRPr="006E2FF7" w:rsidRDefault="00C758B4" w:rsidP="00C758B4">
      <w:pPr>
        <w:pStyle w:val="NoSpacing"/>
        <w:jc w:val="both"/>
        <w:rPr>
          <w:rFonts w:ascii="Garamond" w:eastAsia="Times New Roman" w:hAnsi="Garamond" w:cs="Times New Roman"/>
          <w:b/>
          <w:sz w:val="52"/>
          <w:szCs w:val="52"/>
        </w:rPr>
      </w:pPr>
      <w:r w:rsidRPr="006E2FF7">
        <w:rPr>
          <w:rFonts w:eastAsia="Times New Roman"/>
          <w:b/>
          <w:bCs/>
          <w:sz w:val="28"/>
          <w:szCs w:val="28"/>
          <w:lang w:val="en-US"/>
        </w:rPr>
        <w:br w:type="page"/>
      </w:r>
    </w:p>
    <w:p w14:paraId="7CCE485B" w14:textId="77777777" w:rsidR="00077C50" w:rsidRPr="002930C5" w:rsidRDefault="00077C50" w:rsidP="007C7414">
      <w:pPr>
        <w:pStyle w:val="NoSpacing"/>
        <w:jc w:val="both"/>
        <w:rPr>
          <w:b/>
          <w:bCs/>
          <w:sz w:val="24"/>
          <w:szCs w:val="24"/>
          <w:u w:val="single"/>
        </w:rPr>
      </w:pPr>
      <w:bookmarkStart w:id="3" w:name="_Hlk128295045"/>
      <w:r w:rsidRPr="002930C5">
        <w:rPr>
          <w:b/>
          <w:bCs/>
          <w:sz w:val="24"/>
          <w:szCs w:val="24"/>
          <w:u w:val="single"/>
        </w:rPr>
        <w:lastRenderedPageBreak/>
        <w:t>Great Waltham Parish Council</w:t>
      </w:r>
      <w:r w:rsidR="00C758B4">
        <w:rPr>
          <w:b/>
          <w:bCs/>
          <w:sz w:val="24"/>
          <w:szCs w:val="24"/>
          <w:u w:val="single"/>
        </w:rPr>
        <w:t xml:space="preserve"> – </w:t>
      </w:r>
      <w:r w:rsidRPr="002930C5">
        <w:rPr>
          <w:b/>
          <w:bCs/>
          <w:sz w:val="24"/>
          <w:szCs w:val="24"/>
          <w:u w:val="single"/>
        </w:rPr>
        <w:t>Recreation Strategy</w:t>
      </w:r>
      <w:r w:rsidR="00C758B4">
        <w:rPr>
          <w:b/>
          <w:bCs/>
          <w:sz w:val="24"/>
          <w:szCs w:val="24"/>
          <w:u w:val="single"/>
        </w:rPr>
        <w:t xml:space="preserve"> (2023-</w:t>
      </w:r>
      <w:r w:rsidR="00BC5D33">
        <w:rPr>
          <w:b/>
          <w:bCs/>
          <w:sz w:val="24"/>
          <w:szCs w:val="24"/>
          <w:u w:val="single"/>
        </w:rPr>
        <w:t>2027</w:t>
      </w:r>
      <w:r w:rsidR="00C758B4">
        <w:rPr>
          <w:b/>
          <w:bCs/>
          <w:sz w:val="24"/>
          <w:szCs w:val="24"/>
          <w:u w:val="single"/>
        </w:rPr>
        <w:t>)</w:t>
      </w:r>
    </w:p>
    <w:p w14:paraId="10BABD8D" w14:textId="77777777" w:rsidR="00077C50" w:rsidRDefault="00077C50" w:rsidP="007C7414">
      <w:pPr>
        <w:pStyle w:val="NoSpacing"/>
        <w:jc w:val="both"/>
      </w:pPr>
    </w:p>
    <w:p w14:paraId="670692AD" w14:textId="77777777" w:rsidR="00C758B4" w:rsidRDefault="00C758B4" w:rsidP="007C7414">
      <w:pPr>
        <w:pStyle w:val="NoSpacing"/>
        <w:jc w:val="both"/>
      </w:pPr>
    </w:p>
    <w:p w14:paraId="0235E97E" w14:textId="77777777" w:rsidR="00077C50" w:rsidRPr="002930C5" w:rsidRDefault="00077C50" w:rsidP="007C7414">
      <w:pPr>
        <w:pStyle w:val="NoSpacing"/>
        <w:numPr>
          <w:ilvl w:val="0"/>
          <w:numId w:val="1"/>
        </w:numPr>
        <w:ind w:left="426"/>
        <w:jc w:val="both"/>
        <w:rPr>
          <w:b/>
          <w:bCs/>
          <w:u w:val="single"/>
        </w:rPr>
      </w:pPr>
      <w:r w:rsidRPr="002930C5">
        <w:rPr>
          <w:b/>
          <w:bCs/>
          <w:u w:val="single"/>
        </w:rPr>
        <w:t>Overview</w:t>
      </w:r>
    </w:p>
    <w:p w14:paraId="694B36CD" w14:textId="77777777" w:rsidR="00077C50" w:rsidRDefault="00077C50" w:rsidP="007C7414">
      <w:pPr>
        <w:pStyle w:val="NoSpacing"/>
        <w:ind w:left="426"/>
        <w:jc w:val="both"/>
      </w:pPr>
    </w:p>
    <w:bookmarkEnd w:id="3"/>
    <w:p w14:paraId="058240E1" w14:textId="77777777" w:rsidR="00077C50" w:rsidRDefault="00077C50" w:rsidP="007C7414">
      <w:pPr>
        <w:pStyle w:val="NoSpacing"/>
        <w:numPr>
          <w:ilvl w:val="1"/>
          <w:numId w:val="1"/>
        </w:numPr>
        <w:jc w:val="both"/>
      </w:pPr>
      <w:r>
        <w:t>At 25.04 km² Great Waltham is the eighth largest civil parish in Essex.  In the 2021 census it had a population of 2,331</w:t>
      </w:r>
      <w:r w:rsidR="00FE0C37">
        <w:rPr>
          <w:rStyle w:val="FootnoteReference"/>
        </w:rPr>
        <w:footnoteReference w:id="1"/>
      </w:r>
      <w:r w:rsidR="00FE0C37">
        <w:t>; that is, 93.09 persons per km².  However, residences are concentrated in three villages: Great Waltham, Ford End and Howe Street; and six hamlets: Breeds, Broads Green, Fanners Green, Littley Green, North End and Minnow Mead.</w:t>
      </w:r>
    </w:p>
    <w:p w14:paraId="70FF9927" w14:textId="77777777" w:rsidR="000625E3" w:rsidRDefault="000625E3" w:rsidP="007C7414">
      <w:pPr>
        <w:pStyle w:val="NoSpacing"/>
        <w:ind w:left="792"/>
        <w:jc w:val="both"/>
      </w:pPr>
    </w:p>
    <w:p w14:paraId="18A36DD3" w14:textId="77777777" w:rsidR="00FE0C37" w:rsidRDefault="000625E3" w:rsidP="007C7414">
      <w:pPr>
        <w:pStyle w:val="NoSpacing"/>
        <w:numPr>
          <w:ilvl w:val="1"/>
          <w:numId w:val="1"/>
        </w:numPr>
        <w:jc w:val="both"/>
      </w:pPr>
      <w:r>
        <w:t xml:space="preserve">Great Waltham Parish Council (“GWPC”) aims to provide recreational facilities for all age ranges within its area.  Because most of the population live in the three villages, it recognises that facilities will tend to be centred there, with the most focus on Great Waltham village where the majority </w:t>
      </w:r>
      <w:r w:rsidR="006B6F92">
        <w:t>reside</w:t>
      </w:r>
      <w:r>
        <w:t>.</w:t>
      </w:r>
    </w:p>
    <w:p w14:paraId="50B8E67B" w14:textId="77777777" w:rsidR="000625E3" w:rsidRDefault="000625E3" w:rsidP="007C7414">
      <w:pPr>
        <w:pStyle w:val="NoSpacing"/>
        <w:ind w:left="792"/>
        <w:jc w:val="both"/>
      </w:pPr>
    </w:p>
    <w:p w14:paraId="606EEAAD" w14:textId="77777777" w:rsidR="000625E3" w:rsidRDefault="000625E3" w:rsidP="007C7414">
      <w:pPr>
        <w:pStyle w:val="NoSpacing"/>
        <w:numPr>
          <w:ilvl w:val="1"/>
          <w:numId w:val="1"/>
        </w:numPr>
        <w:jc w:val="both"/>
      </w:pPr>
      <w:r>
        <w:t xml:space="preserve">The range of recreational facilities will be determined by a combination of demand, </w:t>
      </w:r>
      <w:r w:rsidR="006B6F92">
        <w:t xml:space="preserve">GWPC’s </w:t>
      </w:r>
      <w:r>
        <w:t>desire for inclusivity and available budget (as determined by the parish precept and any other available grants or revenue streams).</w:t>
      </w:r>
    </w:p>
    <w:p w14:paraId="1A2DE191" w14:textId="77777777" w:rsidR="00BE2ED7" w:rsidRDefault="00BE2ED7" w:rsidP="007C7414">
      <w:pPr>
        <w:pStyle w:val="NoSpacing"/>
        <w:ind w:left="792"/>
        <w:jc w:val="both"/>
      </w:pPr>
    </w:p>
    <w:p w14:paraId="6D332EAC" w14:textId="77777777" w:rsidR="00B33B81" w:rsidRDefault="000625E3" w:rsidP="007C7414">
      <w:pPr>
        <w:pStyle w:val="NoSpacing"/>
        <w:numPr>
          <w:ilvl w:val="1"/>
          <w:numId w:val="1"/>
        </w:numPr>
        <w:jc w:val="both"/>
      </w:pPr>
      <w:r>
        <w:t xml:space="preserve">The non-nucleated arrangement of its settlements places pressure on GWPC to spread </w:t>
      </w:r>
      <w:r w:rsidR="00BE2ED7">
        <w:t xml:space="preserve">its </w:t>
      </w:r>
      <w:r>
        <w:t>limited financial resources</w:t>
      </w:r>
      <w:r w:rsidR="006B6F92">
        <w:t>,</w:t>
      </w:r>
      <w:r>
        <w:t xml:space="preserve"> </w:t>
      </w:r>
      <w:r w:rsidR="00BE2ED7">
        <w:t>present</w:t>
      </w:r>
      <w:r w:rsidR="006B6F92">
        <w:t>ing</w:t>
      </w:r>
      <w:r w:rsidR="00BE2ED7">
        <w:t xml:space="preserve"> significant challenges in matching the expectations at each area of population.  </w:t>
      </w:r>
      <w:r w:rsidR="006B6F92">
        <w:t xml:space="preserve">Often it </w:t>
      </w:r>
      <w:r w:rsidR="00BE2ED7">
        <w:t xml:space="preserve">has to make difficult decisions and compromises </w:t>
      </w:r>
      <w:r w:rsidR="006B6F92">
        <w:t xml:space="preserve">as it looks </w:t>
      </w:r>
      <w:r w:rsidR="00BE2ED7">
        <w:t xml:space="preserve">to make facilities as widely available as possible.  </w:t>
      </w:r>
      <w:r w:rsidR="006B6F92">
        <w:t xml:space="preserve">When seeking to </w:t>
      </w:r>
      <w:r w:rsidR="00B33B81">
        <w:t xml:space="preserve">maximise the provision and use potential of recreational facilities for the widest number of parishioners </w:t>
      </w:r>
      <w:r w:rsidR="006B6F92">
        <w:t>GWPC</w:t>
      </w:r>
      <w:r w:rsidR="00B33B81">
        <w:t xml:space="preserve"> also pays close regard to the impact of any developments and improvements on the environment (</w:t>
      </w:r>
      <w:r w:rsidR="006B6F92">
        <w:t xml:space="preserve">in particular, in adheres to the requirements of its </w:t>
      </w:r>
      <w:r w:rsidR="00B33B81" w:rsidRPr="00B33B81">
        <w:t>Statement on Biodiversity</w:t>
      </w:r>
      <w:r w:rsidR="00B33B81">
        <w:t xml:space="preserve"> policy</w:t>
      </w:r>
      <w:r w:rsidR="00B33B81">
        <w:rPr>
          <w:rStyle w:val="FootnoteReference"/>
        </w:rPr>
        <w:footnoteReference w:id="2"/>
      </w:r>
      <w:r w:rsidR="00B33B81">
        <w:t>).</w:t>
      </w:r>
    </w:p>
    <w:p w14:paraId="5F9262C3" w14:textId="77777777" w:rsidR="00B33B81" w:rsidRDefault="00B33B81" w:rsidP="007C7414">
      <w:pPr>
        <w:pStyle w:val="NoSpacing"/>
        <w:ind w:left="792"/>
        <w:jc w:val="both"/>
      </w:pPr>
    </w:p>
    <w:p w14:paraId="0DE3AA6F" w14:textId="33343176" w:rsidR="00B33B81" w:rsidRDefault="00B33B81" w:rsidP="007C7414">
      <w:pPr>
        <w:pStyle w:val="NoSpacing"/>
        <w:numPr>
          <w:ilvl w:val="1"/>
          <w:numId w:val="1"/>
        </w:numPr>
        <w:jc w:val="both"/>
      </w:pPr>
      <w:r>
        <w:t>In these contexts, t</w:t>
      </w:r>
      <w:r w:rsidR="00BE2ED7">
        <w:t>his strategy document outlines</w:t>
      </w:r>
      <w:r w:rsidR="00C758B4">
        <w:t xml:space="preserve">, for the </w:t>
      </w:r>
      <w:r w:rsidR="00BC5D33">
        <w:t xml:space="preserve">five year </w:t>
      </w:r>
      <w:r w:rsidR="00C758B4">
        <w:t xml:space="preserve">period 2023 to </w:t>
      </w:r>
      <w:r w:rsidR="00BC5D33">
        <w:t>2027</w:t>
      </w:r>
      <w:r w:rsidR="00C758B4">
        <w:t xml:space="preserve"> inclusive,</w:t>
      </w:r>
      <w:r w:rsidR="00BE2ED7">
        <w:t xml:space="preserve"> where </w:t>
      </w:r>
      <w:r>
        <w:t xml:space="preserve">and how </w:t>
      </w:r>
      <w:r w:rsidR="00BE2ED7">
        <w:t>GWPC will look to focus its activities and the principles which guide its work.</w:t>
      </w:r>
      <w:r w:rsidR="00FD2FD2">
        <w:t xml:space="preserve">  Developments and opportunities during the period to 2027 may require a </w:t>
      </w:r>
      <w:r w:rsidR="009E380A">
        <w:t xml:space="preserve">periodic </w:t>
      </w:r>
      <w:r w:rsidR="00FD2FD2">
        <w:t>review and update of the strategy.</w:t>
      </w:r>
      <w:r w:rsidR="009E380A">
        <w:t xml:space="preserve">  However, an initial five year </w:t>
      </w:r>
      <w:r w:rsidR="00DC122D">
        <w:t>period</w:t>
      </w:r>
      <w:r w:rsidR="009E380A">
        <w:t xml:space="preserve"> provides certainly and focus </w:t>
      </w:r>
      <w:r w:rsidR="005F457D">
        <w:t>when GWPC considers its future budgets.</w:t>
      </w:r>
    </w:p>
    <w:p w14:paraId="720E24C3" w14:textId="77777777" w:rsidR="007C7414" w:rsidRDefault="007C7414" w:rsidP="007C7414">
      <w:pPr>
        <w:pStyle w:val="NoSpacing"/>
        <w:ind w:left="360"/>
        <w:jc w:val="both"/>
      </w:pPr>
    </w:p>
    <w:p w14:paraId="23A52EC6" w14:textId="77777777" w:rsidR="00B33B81" w:rsidRPr="002930C5" w:rsidRDefault="00B33B81" w:rsidP="007C7414">
      <w:pPr>
        <w:pStyle w:val="NoSpacing"/>
        <w:numPr>
          <w:ilvl w:val="0"/>
          <w:numId w:val="1"/>
        </w:numPr>
        <w:jc w:val="both"/>
        <w:rPr>
          <w:b/>
          <w:bCs/>
          <w:u w:val="single"/>
        </w:rPr>
      </w:pPr>
      <w:r w:rsidRPr="002930C5">
        <w:rPr>
          <w:b/>
          <w:bCs/>
          <w:u w:val="single"/>
        </w:rPr>
        <w:t xml:space="preserve">Current Recreational Facilities Administered by </w:t>
      </w:r>
      <w:r w:rsidR="007C7414" w:rsidRPr="002930C5">
        <w:rPr>
          <w:b/>
          <w:bCs/>
          <w:u w:val="single"/>
        </w:rPr>
        <w:t>GWPC</w:t>
      </w:r>
    </w:p>
    <w:p w14:paraId="130024FE" w14:textId="77777777" w:rsidR="007C7414" w:rsidRDefault="007C7414" w:rsidP="007C7414">
      <w:pPr>
        <w:pStyle w:val="NoSpacing"/>
        <w:ind w:left="360"/>
        <w:jc w:val="both"/>
      </w:pPr>
    </w:p>
    <w:p w14:paraId="0797ED8F" w14:textId="77777777" w:rsidR="00B33B81" w:rsidRPr="002930C5" w:rsidRDefault="00B33B81" w:rsidP="007C7414">
      <w:pPr>
        <w:pStyle w:val="NoSpacing"/>
        <w:numPr>
          <w:ilvl w:val="1"/>
          <w:numId w:val="1"/>
        </w:numPr>
        <w:jc w:val="both"/>
        <w:rPr>
          <w:u w:val="single"/>
        </w:rPr>
      </w:pPr>
      <w:r w:rsidRPr="002930C5">
        <w:rPr>
          <w:u w:val="single"/>
        </w:rPr>
        <w:t>Great Waltham Recreation Ground</w:t>
      </w:r>
    </w:p>
    <w:p w14:paraId="6A812CC9" w14:textId="77777777" w:rsidR="00091081" w:rsidRDefault="00091081" w:rsidP="005376EE">
      <w:pPr>
        <w:pStyle w:val="NoSpacing"/>
        <w:ind w:left="792"/>
        <w:jc w:val="both"/>
      </w:pPr>
    </w:p>
    <w:p w14:paraId="78A010CE" w14:textId="2A460622" w:rsidR="005376EE" w:rsidRDefault="005376EE" w:rsidP="005376EE">
      <w:pPr>
        <w:pStyle w:val="NoSpacing"/>
        <w:ind w:left="792"/>
        <w:jc w:val="both"/>
      </w:pPr>
      <w:r>
        <w:t xml:space="preserve">This is sited off South Street, Great Waltham.  The area is part </w:t>
      </w:r>
      <w:proofErr w:type="gramStart"/>
      <w:r>
        <w:t>owned</w:t>
      </w:r>
      <w:proofErr w:type="gramEnd"/>
      <w:r>
        <w:t xml:space="preserve"> and part leased by GWPC</w:t>
      </w:r>
      <w:r w:rsidR="00091081">
        <w:t xml:space="preserve"> and </w:t>
      </w:r>
      <w:r>
        <w:t>contains the Pavilion (a facility used by GWPC for its meetings and also available for hire</w:t>
      </w:r>
      <w:r w:rsidR="00091081">
        <w:t>, details being available on the parish website</w:t>
      </w:r>
      <w:r w:rsidR="00091081">
        <w:rPr>
          <w:rStyle w:val="FootnoteReference"/>
        </w:rPr>
        <w:footnoteReference w:id="3"/>
      </w:r>
      <w:r w:rsidR="00091081">
        <w:t xml:space="preserve">), a </w:t>
      </w:r>
      <w:r w:rsidR="00D528D7">
        <w:t>junior-sized</w:t>
      </w:r>
      <w:r w:rsidR="00091081">
        <w:t xml:space="preserve"> football pitch, </w:t>
      </w:r>
      <w:r w:rsidR="00E52939">
        <w:t xml:space="preserve">seating and the play equipment items detailed in </w:t>
      </w:r>
      <w:r w:rsidR="00006D84">
        <w:t>GWPC’s current asset register</w:t>
      </w:r>
      <w:r w:rsidR="00006D84">
        <w:rPr>
          <w:rStyle w:val="FootnoteReference"/>
        </w:rPr>
        <w:footnoteReference w:id="4"/>
      </w:r>
      <w:r w:rsidR="00006D84">
        <w:t>.</w:t>
      </w:r>
    </w:p>
    <w:p w14:paraId="2FB19D5B" w14:textId="77777777" w:rsidR="00091081" w:rsidRDefault="00091081" w:rsidP="005376EE">
      <w:pPr>
        <w:pStyle w:val="NoSpacing"/>
        <w:ind w:left="792"/>
        <w:jc w:val="both"/>
      </w:pPr>
    </w:p>
    <w:p w14:paraId="4BEE82E6" w14:textId="77777777" w:rsidR="00B33B81" w:rsidRPr="002930C5" w:rsidRDefault="00B33B81" w:rsidP="007C7414">
      <w:pPr>
        <w:pStyle w:val="NoSpacing"/>
        <w:numPr>
          <w:ilvl w:val="1"/>
          <w:numId w:val="1"/>
        </w:numPr>
        <w:jc w:val="both"/>
        <w:rPr>
          <w:u w:val="single"/>
        </w:rPr>
      </w:pPr>
      <w:r w:rsidRPr="002930C5">
        <w:rPr>
          <w:u w:val="single"/>
        </w:rPr>
        <w:t>Howe Street Recreation Ground</w:t>
      </w:r>
    </w:p>
    <w:p w14:paraId="18209F67" w14:textId="77777777" w:rsidR="00091081" w:rsidRDefault="00091081" w:rsidP="00091081">
      <w:pPr>
        <w:pStyle w:val="NoSpacing"/>
        <w:ind w:left="792"/>
        <w:jc w:val="both"/>
      </w:pPr>
    </w:p>
    <w:p w14:paraId="47ED510F" w14:textId="00588EE3" w:rsidR="00DC122D" w:rsidRDefault="00091081" w:rsidP="00006D84">
      <w:pPr>
        <w:pStyle w:val="NoSpacing"/>
        <w:ind w:left="792"/>
        <w:jc w:val="both"/>
        <w:rPr>
          <w:u w:val="single"/>
        </w:rPr>
      </w:pPr>
      <w:r>
        <w:t xml:space="preserve">This is sited off Parsonage Lane, Howe Street.  The area is leased by GWPC and contains </w:t>
      </w:r>
      <w:r w:rsidR="006B6F92">
        <w:t>seating</w:t>
      </w:r>
      <w:r w:rsidR="0093328C">
        <w:t xml:space="preserve"> and the play equipment items detailed </w:t>
      </w:r>
      <w:r w:rsidR="00006D84">
        <w:t>in GWPC’s current asset register</w:t>
      </w:r>
      <w:r w:rsidR="00006D84">
        <w:rPr>
          <w:rStyle w:val="FootnoteReference"/>
        </w:rPr>
        <w:footnoteReference w:id="5"/>
      </w:r>
      <w:r w:rsidR="0093328C">
        <w:t>.</w:t>
      </w:r>
      <w:r w:rsidR="00DC122D">
        <w:rPr>
          <w:u w:val="single"/>
        </w:rPr>
        <w:br w:type="page"/>
      </w:r>
    </w:p>
    <w:p w14:paraId="4C8D82B6" w14:textId="745A5149" w:rsidR="00B33B81" w:rsidRPr="002930C5" w:rsidRDefault="00B33B81" w:rsidP="007C7414">
      <w:pPr>
        <w:pStyle w:val="NoSpacing"/>
        <w:numPr>
          <w:ilvl w:val="1"/>
          <w:numId w:val="1"/>
        </w:numPr>
        <w:jc w:val="both"/>
        <w:rPr>
          <w:u w:val="single"/>
        </w:rPr>
      </w:pPr>
      <w:r w:rsidRPr="002930C5">
        <w:rPr>
          <w:u w:val="single"/>
        </w:rPr>
        <w:lastRenderedPageBreak/>
        <w:t>Ford End Recreation Ground</w:t>
      </w:r>
    </w:p>
    <w:p w14:paraId="6BDC5EAD" w14:textId="77777777" w:rsidR="002930C5" w:rsidRDefault="002930C5" w:rsidP="00091081">
      <w:pPr>
        <w:pStyle w:val="NoSpacing"/>
        <w:ind w:left="792"/>
        <w:jc w:val="both"/>
      </w:pPr>
    </w:p>
    <w:p w14:paraId="0028F588" w14:textId="32ADE46A" w:rsidR="00091081" w:rsidRDefault="00091081" w:rsidP="00091081">
      <w:pPr>
        <w:pStyle w:val="NoSpacing"/>
        <w:ind w:left="792"/>
        <w:jc w:val="both"/>
      </w:pPr>
      <w:r>
        <w:t xml:space="preserve">This is sited off Pleshey Road, Ford End.  The area is owned by GWPC and contains a junior </w:t>
      </w:r>
      <w:r w:rsidR="002930C5">
        <w:t xml:space="preserve">goal size football pitch and a single full-size goal, </w:t>
      </w:r>
      <w:r w:rsidR="006B6F92">
        <w:t>seating</w:t>
      </w:r>
      <w:r w:rsidR="0093328C">
        <w:t xml:space="preserve"> and the play equipment items detailed </w:t>
      </w:r>
      <w:r w:rsidR="00006D84">
        <w:t>in GWPC’s current asset register</w:t>
      </w:r>
      <w:r w:rsidR="00006D84">
        <w:rPr>
          <w:rStyle w:val="FootnoteReference"/>
        </w:rPr>
        <w:footnoteReference w:id="6"/>
      </w:r>
      <w:r w:rsidR="0093328C">
        <w:t>.</w:t>
      </w:r>
    </w:p>
    <w:p w14:paraId="3E601E6D" w14:textId="77777777" w:rsidR="002930C5" w:rsidRDefault="002930C5" w:rsidP="00091081">
      <w:pPr>
        <w:pStyle w:val="NoSpacing"/>
        <w:ind w:left="792"/>
        <w:jc w:val="both"/>
      </w:pPr>
    </w:p>
    <w:p w14:paraId="087C0209" w14:textId="77777777" w:rsidR="007C7414" w:rsidRPr="00CA74E9" w:rsidRDefault="007C7414" w:rsidP="007C7414">
      <w:pPr>
        <w:pStyle w:val="NoSpacing"/>
        <w:numPr>
          <w:ilvl w:val="1"/>
          <w:numId w:val="1"/>
        </w:numPr>
        <w:jc w:val="both"/>
        <w:rPr>
          <w:u w:val="single"/>
        </w:rPr>
      </w:pPr>
      <w:r w:rsidRPr="00CA74E9">
        <w:rPr>
          <w:u w:val="single"/>
        </w:rPr>
        <w:t>Allotment sites</w:t>
      </w:r>
    </w:p>
    <w:p w14:paraId="1866CB3E" w14:textId="77777777" w:rsidR="002930C5" w:rsidRDefault="002930C5" w:rsidP="002930C5">
      <w:pPr>
        <w:pStyle w:val="NoSpacing"/>
        <w:ind w:left="792"/>
        <w:jc w:val="both"/>
      </w:pPr>
    </w:p>
    <w:p w14:paraId="3A8FD74D" w14:textId="77777777" w:rsidR="0011193F" w:rsidRDefault="002930C5" w:rsidP="002930C5">
      <w:pPr>
        <w:pStyle w:val="NoSpacing"/>
        <w:ind w:left="792"/>
        <w:jc w:val="both"/>
      </w:pPr>
      <w:r>
        <w:t>GWPC leases two plots of land at</w:t>
      </w:r>
      <w:r w:rsidR="0011193F">
        <w:t>:</w:t>
      </w:r>
    </w:p>
    <w:p w14:paraId="3B436D47" w14:textId="77777777" w:rsidR="0011193F" w:rsidRDefault="0011193F" w:rsidP="002930C5">
      <w:pPr>
        <w:pStyle w:val="NoSpacing"/>
        <w:ind w:left="792"/>
        <w:jc w:val="both"/>
      </w:pPr>
    </w:p>
    <w:p w14:paraId="24C42180" w14:textId="77777777" w:rsidR="0011193F" w:rsidRDefault="002930C5" w:rsidP="0011193F">
      <w:pPr>
        <w:pStyle w:val="NoSpacing"/>
        <w:numPr>
          <w:ilvl w:val="0"/>
          <w:numId w:val="3"/>
        </w:numPr>
        <w:ind w:left="1418"/>
        <w:jc w:val="both"/>
      </w:pPr>
      <w:r>
        <w:t>Brook Mead, Great Waltham</w:t>
      </w:r>
      <w:r w:rsidR="00CA74E9">
        <w:t xml:space="preserve"> (0.375 hectares)</w:t>
      </w:r>
      <w:r w:rsidR="0011193F">
        <w:t>.</w:t>
      </w:r>
    </w:p>
    <w:p w14:paraId="1345E3C6" w14:textId="77777777" w:rsidR="0011193F" w:rsidRDefault="002930C5" w:rsidP="0011193F">
      <w:pPr>
        <w:pStyle w:val="NoSpacing"/>
        <w:numPr>
          <w:ilvl w:val="0"/>
          <w:numId w:val="3"/>
        </w:numPr>
        <w:ind w:left="1418"/>
        <w:jc w:val="both"/>
      </w:pPr>
      <w:r>
        <w:t xml:space="preserve">Bury Lane, Great Waltham </w:t>
      </w:r>
      <w:r w:rsidR="00CA74E9">
        <w:t>(0.263 hectares)</w:t>
      </w:r>
      <w:r w:rsidR="0011193F">
        <w:t>.</w:t>
      </w:r>
    </w:p>
    <w:p w14:paraId="7B3FE636" w14:textId="77777777" w:rsidR="0011193F" w:rsidRDefault="0011193F" w:rsidP="0011193F">
      <w:pPr>
        <w:pStyle w:val="NoSpacing"/>
        <w:jc w:val="both"/>
      </w:pPr>
    </w:p>
    <w:p w14:paraId="5D6FAA2A" w14:textId="77777777" w:rsidR="002930C5" w:rsidRDefault="002930C5" w:rsidP="0011193F">
      <w:pPr>
        <w:pStyle w:val="NoSpacing"/>
        <w:ind w:left="792"/>
        <w:jc w:val="both"/>
      </w:pPr>
      <w:r>
        <w:t>which are available for parishioners to hire as allotment gardens for the cultivation</w:t>
      </w:r>
      <w:r w:rsidR="009353D4">
        <w:t xml:space="preserve"> of vegetable or fruit crops</w:t>
      </w:r>
      <w:r>
        <w:t>.</w:t>
      </w:r>
      <w:r w:rsidR="00CA74E9">
        <w:t xml:space="preserve">  GWPC’s Allotment Allocation Policy and specimen Allotment Agreement are available on the parish website</w:t>
      </w:r>
      <w:r w:rsidR="00CA74E9">
        <w:rPr>
          <w:rStyle w:val="FootnoteReference"/>
        </w:rPr>
        <w:footnoteReference w:id="7"/>
      </w:r>
      <w:r w:rsidR="00CA74E9">
        <w:t>.</w:t>
      </w:r>
    </w:p>
    <w:p w14:paraId="1FDFF38A" w14:textId="77777777" w:rsidR="002930C5" w:rsidRDefault="002930C5" w:rsidP="002930C5">
      <w:pPr>
        <w:pStyle w:val="NoSpacing"/>
        <w:ind w:left="792"/>
        <w:jc w:val="both"/>
      </w:pPr>
      <w:bookmarkStart w:id="4" w:name="_Hlk173226720"/>
    </w:p>
    <w:p w14:paraId="6D8EA649" w14:textId="5B6606CA" w:rsidR="0011193F" w:rsidRPr="002930C5" w:rsidRDefault="0011193F" w:rsidP="0011193F">
      <w:pPr>
        <w:pStyle w:val="NoSpacing"/>
        <w:numPr>
          <w:ilvl w:val="1"/>
          <w:numId w:val="1"/>
        </w:numPr>
        <w:jc w:val="both"/>
        <w:rPr>
          <w:u w:val="single"/>
        </w:rPr>
      </w:pPr>
      <w:bookmarkStart w:id="5" w:name="_Hlk173226662"/>
      <w:bookmarkStart w:id="6" w:name="_Hlk173226609"/>
      <w:r w:rsidRPr="002930C5">
        <w:rPr>
          <w:u w:val="single"/>
        </w:rPr>
        <w:t xml:space="preserve">Other areas owned or </w:t>
      </w:r>
      <w:r w:rsidR="00DA2B67">
        <w:rPr>
          <w:u w:val="single"/>
        </w:rPr>
        <w:t xml:space="preserve">administered </w:t>
      </w:r>
      <w:r w:rsidRPr="002930C5">
        <w:rPr>
          <w:u w:val="single"/>
        </w:rPr>
        <w:t>by GWPC</w:t>
      </w:r>
    </w:p>
    <w:p w14:paraId="148E1E5B" w14:textId="77777777" w:rsidR="0011193F" w:rsidRDefault="0011193F" w:rsidP="0011193F">
      <w:pPr>
        <w:pStyle w:val="NoSpacing"/>
        <w:ind w:left="792"/>
        <w:jc w:val="both"/>
      </w:pPr>
    </w:p>
    <w:p w14:paraId="2B2F48D3" w14:textId="7118C769" w:rsidR="0011193F" w:rsidRDefault="0011193F" w:rsidP="0011193F">
      <w:pPr>
        <w:pStyle w:val="NoSpacing"/>
        <w:ind w:left="792"/>
        <w:jc w:val="both"/>
      </w:pPr>
      <w:r>
        <w:t xml:space="preserve">These areas are </w:t>
      </w:r>
      <w:r w:rsidR="00DA2B67">
        <w:t xml:space="preserve">owned </w:t>
      </w:r>
      <w:r>
        <w:t xml:space="preserve">by GWPC: </w:t>
      </w:r>
    </w:p>
    <w:p w14:paraId="5009903B" w14:textId="77777777" w:rsidR="0011193F" w:rsidRDefault="0011193F" w:rsidP="0011193F">
      <w:pPr>
        <w:pStyle w:val="NoSpacing"/>
        <w:ind w:left="792"/>
        <w:jc w:val="both"/>
      </w:pPr>
    </w:p>
    <w:p w14:paraId="19EF0F83" w14:textId="4550DB6E" w:rsidR="0011193F" w:rsidRDefault="0011193F" w:rsidP="0011193F">
      <w:pPr>
        <w:pStyle w:val="NoSpacing"/>
        <w:numPr>
          <w:ilvl w:val="0"/>
          <w:numId w:val="2"/>
        </w:numPr>
        <w:ind w:left="1418"/>
        <w:jc w:val="both"/>
      </w:pPr>
      <w:r>
        <w:t xml:space="preserve">The </w:t>
      </w:r>
      <w:r w:rsidR="00D528D7">
        <w:t xml:space="preserve">village </w:t>
      </w:r>
      <w:r>
        <w:t xml:space="preserve">green </w:t>
      </w:r>
      <w:r w:rsidR="00D528D7">
        <w:t xml:space="preserve">at </w:t>
      </w:r>
      <w:r>
        <w:t>Banbury Square, Great Waltham, the site of the war memorial.</w:t>
      </w:r>
      <w:r w:rsidR="00D528D7">
        <w:t xml:space="preserve">  (Register Unit No. VG148 in the Register of Town or Village Greens maintained by Essex County Council).</w:t>
      </w:r>
    </w:p>
    <w:p w14:paraId="0332D389" w14:textId="50CD92F7" w:rsidR="0011193F" w:rsidRDefault="0011193F" w:rsidP="0011193F">
      <w:pPr>
        <w:pStyle w:val="NoSpacing"/>
        <w:numPr>
          <w:ilvl w:val="0"/>
          <w:numId w:val="2"/>
        </w:numPr>
        <w:ind w:left="1418"/>
        <w:jc w:val="both"/>
      </w:pPr>
      <w:r>
        <w:t xml:space="preserve">The </w:t>
      </w:r>
      <w:r w:rsidR="00D528D7">
        <w:t xml:space="preserve">village green </w:t>
      </w:r>
      <w:r>
        <w:t>in the centre of Broad</w:t>
      </w:r>
      <w:r w:rsidR="00D528D7">
        <w:t>’</w:t>
      </w:r>
      <w:r>
        <w:t>s Green.</w:t>
      </w:r>
      <w:r w:rsidR="00D528D7">
        <w:t xml:space="preserve">  (Register Unit No. VG149 in the Register of Town or Village Greens maintained by Essex County Council).</w:t>
      </w:r>
    </w:p>
    <w:p w14:paraId="7DBF3804" w14:textId="0A0BEFA9" w:rsidR="00D528D7" w:rsidRDefault="00D528D7" w:rsidP="0011193F">
      <w:pPr>
        <w:pStyle w:val="NoSpacing"/>
        <w:numPr>
          <w:ilvl w:val="0"/>
          <w:numId w:val="2"/>
        </w:numPr>
        <w:ind w:left="1418"/>
        <w:jc w:val="both"/>
      </w:pPr>
      <w:r>
        <w:t>The village green located at the southern junction of Church Lane and the B1008, Ford End.  (Register Unit No. VG150 in the Register of Town or Village Greens maintained by Essex County Council).</w:t>
      </w:r>
    </w:p>
    <w:p w14:paraId="2C8DD9CE" w14:textId="77777777" w:rsidR="00DA2B67" w:rsidRDefault="00DA2B67" w:rsidP="00DA2B67">
      <w:pPr>
        <w:pStyle w:val="NoSpacing"/>
        <w:ind w:left="851"/>
        <w:jc w:val="both"/>
      </w:pPr>
    </w:p>
    <w:p w14:paraId="045A2719" w14:textId="69C3CCD2" w:rsidR="00544F16" w:rsidRDefault="00544F16">
      <w:pPr>
        <w:pStyle w:val="NoSpacing"/>
        <w:ind w:left="851"/>
        <w:jc w:val="both"/>
      </w:pPr>
      <w:r>
        <w:t xml:space="preserve">GWPC </w:t>
      </w:r>
      <w:r w:rsidR="00DA2B67">
        <w:t>also administers</w:t>
      </w:r>
      <w:r w:rsidR="00652C6B">
        <w:t xml:space="preserve"> these areas of land where ownership is </w:t>
      </w:r>
      <w:r w:rsidR="00F17285">
        <w:t xml:space="preserve">currently </w:t>
      </w:r>
      <w:r w:rsidR="00652C6B">
        <w:t>unknown</w:t>
      </w:r>
      <w:r>
        <w:t>:</w:t>
      </w:r>
    </w:p>
    <w:p w14:paraId="6D76F0CB" w14:textId="77777777" w:rsidR="00544F16" w:rsidRDefault="00544F16">
      <w:pPr>
        <w:pStyle w:val="NoSpacing"/>
        <w:ind w:left="851"/>
        <w:jc w:val="both"/>
      </w:pPr>
    </w:p>
    <w:p w14:paraId="66B023A6" w14:textId="20489DD0" w:rsidR="00544F16" w:rsidRDefault="00544F16" w:rsidP="00544F16">
      <w:pPr>
        <w:pStyle w:val="NoSpacing"/>
        <w:numPr>
          <w:ilvl w:val="0"/>
          <w:numId w:val="2"/>
        </w:numPr>
        <w:ind w:left="1418"/>
        <w:jc w:val="both"/>
      </w:pPr>
      <w:r>
        <w:t>An area of common land known as Pump Green, North End.  (Register Unit No. CL466 in the Register of Common Land maintained by Essex County Council).</w:t>
      </w:r>
    </w:p>
    <w:p w14:paraId="0D3B2101" w14:textId="45E756BD" w:rsidR="00652C6B" w:rsidRDefault="00652C6B" w:rsidP="00544F16">
      <w:pPr>
        <w:pStyle w:val="NoSpacing"/>
        <w:numPr>
          <w:ilvl w:val="0"/>
          <w:numId w:val="2"/>
        </w:numPr>
        <w:ind w:left="1418"/>
        <w:jc w:val="both"/>
      </w:pPr>
      <w:r>
        <w:t xml:space="preserve">The </w:t>
      </w:r>
      <w:r w:rsidRPr="00652C6B">
        <w:t>small triangular green at the junction of Brook Hill, Mill Road and Bennetts Lane</w:t>
      </w:r>
      <w:r>
        <w:t>, North End.</w:t>
      </w:r>
    </w:p>
    <w:p w14:paraId="4FE9D20F" w14:textId="798BF26E" w:rsidR="0011193F" w:rsidRDefault="00544F16" w:rsidP="00544F16">
      <w:pPr>
        <w:pStyle w:val="NoSpacing"/>
        <w:numPr>
          <w:ilvl w:val="0"/>
          <w:numId w:val="2"/>
        </w:numPr>
        <w:ind w:left="1418"/>
        <w:jc w:val="both"/>
      </w:pPr>
      <w:r>
        <w:t>A</w:t>
      </w:r>
      <w:r w:rsidR="0011193F">
        <w:t xml:space="preserve">n area of common land </w:t>
      </w:r>
      <w:r w:rsidR="0093328C">
        <w:t xml:space="preserve">alongside Littley Green Road, </w:t>
      </w:r>
      <w:r w:rsidR="0011193F">
        <w:t>Littley Green</w:t>
      </w:r>
      <w:bookmarkEnd w:id="4"/>
      <w:bookmarkEnd w:id="5"/>
      <w:r w:rsidR="0093328C">
        <w:rPr>
          <w:rStyle w:val="FootnoteReference"/>
        </w:rPr>
        <w:footnoteReference w:id="8"/>
      </w:r>
      <w:r w:rsidR="0011193F">
        <w:t>.</w:t>
      </w:r>
      <w:bookmarkEnd w:id="6"/>
    </w:p>
    <w:p w14:paraId="3D1771F5" w14:textId="5733A63A" w:rsidR="0011193F" w:rsidRDefault="0011193F" w:rsidP="0011193F">
      <w:pPr>
        <w:pStyle w:val="NoSpacing"/>
        <w:ind w:left="792"/>
        <w:jc w:val="both"/>
      </w:pPr>
    </w:p>
    <w:p w14:paraId="477BAB54" w14:textId="77777777" w:rsidR="007C7414" w:rsidRPr="00836081" w:rsidRDefault="007C7414" w:rsidP="007C7414">
      <w:pPr>
        <w:pStyle w:val="NoSpacing"/>
        <w:numPr>
          <w:ilvl w:val="1"/>
          <w:numId w:val="1"/>
        </w:numPr>
        <w:jc w:val="both"/>
        <w:rPr>
          <w:u w:val="single"/>
        </w:rPr>
      </w:pPr>
      <w:r w:rsidRPr="00836081">
        <w:rPr>
          <w:u w:val="single"/>
        </w:rPr>
        <w:t>Other recreational and cultural activities</w:t>
      </w:r>
    </w:p>
    <w:p w14:paraId="6E68A1DC" w14:textId="77777777" w:rsidR="00CA74E9" w:rsidRDefault="00CA74E9" w:rsidP="00CA74E9">
      <w:pPr>
        <w:pStyle w:val="NoSpacing"/>
        <w:ind w:left="792"/>
        <w:jc w:val="both"/>
      </w:pPr>
    </w:p>
    <w:p w14:paraId="3F1667CA" w14:textId="47308835" w:rsidR="005C0D02" w:rsidRDefault="00CA74E9" w:rsidP="005C0D02">
      <w:pPr>
        <w:pStyle w:val="NoSpacing"/>
        <w:ind w:left="792"/>
        <w:jc w:val="both"/>
      </w:pPr>
      <w:r>
        <w:t xml:space="preserve">GWPC recognises that there are other recreational pursuits provided by clubs in the parish using resources </w:t>
      </w:r>
      <w:r w:rsidR="00011421">
        <w:t xml:space="preserve">provided </w:t>
      </w:r>
      <w:r>
        <w:t xml:space="preserve">by Great Waltham and Ford End Village Halls, </w:t>
      </w:r>
      <w:r w:rsidR="005C0D02">
        <w:t>the churches in the parish or such organisations themselves.</w:t>
      </w:r>
      <w:r w:rsidR="0093328C">
        <w:t xml:space="preserve">  GWPC has no responsibilities in relation to these other facilities.</w:t>
      </w:r>
    </w:p>
    <w:p w14:paraId="59987564" w14:textId="77777777" w:rsidR="005C0D02" w:rsidRDefault="005C0D02" w:rsidP="005C0D02">
      <w:pPr>
        <w:pStyle w:val="NoSpacing"/>
        <w:ind w:left="792"/>
        <w:jc w:val="both"/>
      </w:pPr>
    </w:p>
    <w:p w14:paraId="46405E58" w14:textId="77777777" w:rsidR="005C0D02" w:rsidRPr="00836081" w:rsidRDefault="004654CE" w:rsidP="005C0D02">
      <w:pPr>
        <w:pStyle w:val="NoSpacing"/>
        <w:numPr>
          <w:ilvl w:val="0"/>
          <w:numId w:val="1"/>
        </w:numPr>
        <w:jc w:val="both"/>
        <w:rPr>
          <w:b/>
          <w:bCs/>
          <w:u w:val="single"/>
        </w:rPr>
      </w:pPr>
      <w:r>
        <w:rPr>
          <w:b/>
          <w:bCs/>
          <w:u w:val="single"/>
        </w:rPr>
        <w:t xml:space="preserve">Principles </w:t>
      </w:r>
      <w:r w:rsidR="007B315B">
        <w:rPr>
          <w:b/>
          <w:bCs/>
          <w:u w:val="single"/>
        </w:rPr>
        <w:t xml:space="preserve">Governing </w:t>
      </w:r>
      <w:r w:rsidR="007C7414" w:rsidRPr="00836081">
        <w:rPr>
          <w:b/>
          <w:bCs/>
          <w:u w:val="single"/>
        </w:rPr>
        <w:t>GWPC</w:t>
      </w:r>
      <w:r w:rsidR="007B315B">
        <w:rPr>
          <w:b/>
          <w:bCs/>
          <w:u w:val="single"/>
        </w:rPr>
        <w:t>’s</w:t>
      </w:r>
      <w:r w:rsidR="007C7414" w:rsidRPr="00836081">
        <w:rPr>
          <w:b/>
          <w:bCs/>
          <w:u w:val="single"/>
        </w:rPr>
        <w:t xml:space="preserve"> Recreation Grounds Strategy</w:t>
      </w:r>
    </w:p>
    <w:p w14:paraId="2E7035A7" w14:textId="77777777" w:rsidR="005C0D02" w:rsidRDefault="005C0D02" w:rsidP="005C0D02">
      <w:pPr>
        <w:pStyle w:val="NoSpacing"/>
        <w:ind w:left="360"/>
        <w:jc w:val="both"/>
      </w:pPr>
    </w:p>
    <w:p w14:paraId="21C71FC9" w14:textId="77777777" w:rsidR="005C0D02" w:rsidRDefault="005C0D02" w:rsidP="005C0D02">
      <w:pPr>
        <w:pStyle w:val="NoSpacing"/>
        <w:ind w:left="360"/>
        <w:jc w:val="both"/>
      </w:pPr>
      <w:bookmarkStart w:id="7" w:name="_Hlk128129556"/>
      <w:r>
        <w:t>The following principles underpin how GWPC makes available, develops and improves the recreation grounds detailed in section</w:t>
      </w:r>
      <w:r w:rsidR="00836081">
        <w:t>s</w:t>
      </w:r>
      <w:r>
        <w:t xml:space="preserve"> 2</w:t>
      </w:r>
      <w:r w:rsidR="00836081">
        <w:t>.1, 2.2 and 2.3</w:t>
      </w:r>
      <w:r>
        <w:t>:</w:t>
      </w:r>
    </w:p>
    <w:p w14:paraId="6F1B2CDF" w14:textId="77777777" w:rsidR="005C0D02" w:rsidRDefault="005C0D02" w:rsidP="005C0D02">
      <w:pPr>
        <w:pStyle w:val="NoSpacing"/>
        <w:ind w:left="792"/>
        <w:jc w:val="both"/>
      </w:pPr>
    </w:p>
    <w:p w14:paraId="00955277" w14:textId="77777777" w:rsidR="005C0D02" w:rsidRDefault="005C0D02" w:rsidP="005C0D02">
      <w:pPr>
        <w:pStyle w:val="NoSpacing"/>
        <w:numPr>
          <w:ilvl w:val="1"/>
          <w:numId w:val="1"/>
        </w:numPr>
        <w:jc w:val="both"/>
      </w:pPr>
      <w:r>
        <w:lastRenderedPageBreak/>
        <w:t>All decisions made by GWPC in conjunction with, and all improvements made and equipment installed at, its recreation grounds must be consistent with its agreed policies</w:t>
      </w:r>
      <w:r w:rsidR="00836081">
        <w:rPr>
          <w:rStyle w:val="FootnoteReference"/>
        </w:rPr>
        <w:footnoteReference w:id="9"/>
      </w:r>
      <w:r>
        <w:t>.  GWPC will always make its decisions and take actions consistent with the protected characteristics of individuals, as defined in the Equality Act 2010.</w:t>
      </w:r>
    </w:p>
    <w:p w14:paraId="7B893E9F" w14:textId="77777777" w:rsidR="005C0D02" w:rsidRDefault="005C0D02" w:rsidP="005C0D02">
      <w:pPr>
        <w:pStyle w:val="NoSpacing"/>
        <w:ind w:left="792"/>
        <w:jc w:val="both"/>
      </w:pPr>
    </w:p>
    <w:p w14:paraId="5B345E16" w14:textId="3323633C" w:rsidR="005C0D02" w:rsidRDefault="005C0D02" w:rsidP="005C0D02">
      <w:pPr>
        <w:pStyle w:val="NoSpacing"/>
        <w:numPr>
          <w:ilvl w:val="1"/>
          <w:numId w:val="1"/>
        </w:numPr>
        <w:jc w:val="both"/>
      </w:pPr>
      <w:r>
        <w:t xml:space="preserve">GWPC will prioritise the encouragement of exercise and learning activities </w:t>
      </w:r>
      <w:r w:rsidR="009E380A">
        <w:t xml:space="preserve">for all </w:t>
      </w:r>
      <w:r>
        <w:t>at its recreation grounds</w:t>
      </w:r>
      <w:r w:rsidR="005F457D">
        <w:t>,</w:t>
      </w:r>
      <w:r>
        <w:t xml:space="preserve"> </w:t>
      </w:r>
      <w:r w:rsidR="009E380A">
        <w:t>with a focus on</w:t>
      </w:r>
      <w:r>
        <w:t xml:space="preserve"> children (under 18).</w:t>
      </w:r>
    </w:p>
    <w:p w14:paraId="030A4ED5" w14:textId="77777777" w:rsidR="005C0D02" w:rsidRDefault="005C0D02" w:rsidP="005C0D02">
      <w:pPr>
        <w:pStyle w:val="NoSpacing"/>
        <w:ind w:left="792"/>
        <w:jc w:val="both"/>
      </w:pPr>
    </w:p>
    <w:p w14:paraId="3D7EF6E1" w14:textId="77777777" w:rsidR="005C0D02" w:rsidRDefault="005C0D02" w:rsidP="005C0D02">
      <w:pPr>
        <w:pStyle w:val="NoSpacing"/>
        <w:numPr>
          <w:ilvl w:val="1"/>
          <w:numId w:val="1"/>
        </w:numPr>
        <w:jc w:val="both"/>
      </w:pPr>
      <w:r>
        <w:t>GWPC will prioritise the provision of facilities which make the supervision and safeguarding of children as convenient as possible.</w:t>
      </w:r>
    </w:p>
    <w:p w14:paraId="4AD1E3BE" w14:textId="77777777" w:rsidR="005C0D02" w:rsidRDefault="005C0D02" w:rsidP="005C0D02">
      <w:pPr>
        <w:pStyle w:val="NoSpacing"/>
        <w:ind w:left="792"/>
        <w:jc w:val="both"/>
      </w:pPr>
    </w:p>
    <w:p w14:paraId="711ABDDF" w14:textId="77777777" w:rsidR="005C0D02" w:rsidRDefault="005C0D02" w:rsidP="005C0D02">
      <w:pPr>
        <w:pStyle w:val="NoSpacing"/>
        <w:numPr>
          <w:ilvl w:val="1"/>
          <w:numId w:val="1"/>
        </w:numPr>
        <w:jc w:val="both"/>
      </w:pPr>
      <w:r>
        <w:t>GWPC will prioritise improvements at its recreation grounds which encourage users to socialise.</w:t>
      </w:r>
    </w:p>
    <w:p w14:paraId="29F309A7" w14:textId="77777777" w:rsidR="005C0D02" w:rsidRDefault="005C0D02" w:rsidP="005C0D02">
      <w:pPr>
        <w:pStyle w:val="NoSpacing"/>
        <w:ind w:left="792"/>
        <w:jc w:val="both"/>
      </w:pPr>
    </w:p>
    <w:p w14:paraId="6BC60609" w14:textId="77777777" w:rsidR="005C0D02" w:rsidRDefault="005C0D02" w:rsidP="005C0D02">
      <w:pPr>
        <w:pStyle w:val="NoSpacing"/>
        <w:numPr>
          <w:ilvl w:val="1"/>
          <w:numId w:val="1"/>
        </w:numPr>
        <w:jc w:val="both"/>
      </w:pPr>
      <w:r>
        <w:t>GWPC will aspire to make its recreation grounds as inclusive for as many people as possible.</w:t>
      </w:r>
    </w:p>
    <w:p w14:paraId="26E27438" w14:textId="77777777" w:rsidR="005C0D02" w:rsidRDefault="00290516" w:rsidP="005C0D02">
      <w:pPr>
        <w:pStyle w:val="NoSpacing"/>
        <w:jc w:val="both"/>
      </w:pPr>
      <w:r>
        <w:t xml:space="preserve">                               </w:t>
      </w:r>
    </w:p>
    <w:p w14:paraId="58914004" w14:textId="77777777" w:rsidR="005C0D02" w:rsidRDefault="005C0D02" w:rsidP="005C0D02">
      <w:pPr>
        <w:pStyle w:val="NoSpacing"/>
        <w:numPr>
          <w:ilvl w:val="1"/>
          <w:numId w:val="1"/>
        </w:numPr>
        <w:jc w:val="both"/>
      </w:pPr>
      <w:r>
        <w:t>GWPC will aspire to prioritising access to its recreation grounds by individuals with disabilities.</w:t>
      </w:r>
    </w:p>
    <w:p w14:paraId="5751B1B8" w14:textId="77777777" w:rsidR="005C0D02" w:rsidRDefault="005C0D02" w:rsidP="005C0D02">
      <w:pPr>
        <w:pStyle w:val="NoSpacing"/>
        <w:ind w:left="792"/>
        <w:jc w:val="both"/>
      </w:pPr>
    </w:p>
    <w:p w14:paraId="741BB8A2" w14:textId="77777777" w:rsidR="005C0D02" w:rsidRDefault="005C0D02" w:rsidP="005C0D02">
      <w:pPr>
        <w:pStyle w:val="NoSpacing"/>
        <w:numPr>
          <w:ilvl w:val="1"/>
          <w:numId w:val="1"/>
        </w:numPr>
        <w:jc w:val="both"/>
      </w:pPr>
      <w:r>
        <w:t>GWPC will aspire to ensure all parts of its recreation grounds are accessible all year round.</w:t>
      </w:r>
    </w:p>
    <w:p w14:paraId="6687020E" w14:textId="77777777" w:rsidR="005C0D02" w:rsidRDefault="005C0D02" w:rsidP="005C0D02">
      <w:pPr>
        <w:pStyle w:val="NoSpacing"/>
        <w:jc w:val="both"/>
      </w:pPr>
    </w:p>
    <w:p w14:paraId="6466BFCE" w14:textId="77777777" w:rsidR="005C0D02" w:rsidRDefault="005C0D02" w:rsidP="005C0D02">
      <w:pPr>
        <w:pStyle w:val="NoSpacing"/>
        <w:numPr>
          <w:ilvl w:val="1"/>
          <w:numId w:val="1"/>
        </w:numPr>
        <w:jc w:val="both"/>
      </w:pPr>
      <w:r>
        <w:t>All activities undertaken by GWPC in conjunction with its recreation grounds will be subject to any and all relevant legal, regulatory and financial requirements and constraints</w:t>
      </w:r>
      <w:r w:rsidR="00836081">
        <w:t>.</w:t>
      </w:r>
    </w:p>
    <w:bookmarkEnd w:id="7"/>
    <w:p w14:paraId="54D9312E" w14:textId="77777777" w:rsidR="005C0D02" w:rsidRDefault="005C0D02" w:rsidP="005C0D02">
      <w:pPr>
        <w:pStyle w:val="NoSpacing"/>
        <w:ind w:left="792"/>
        <w:jc w:val="both"/>
      </w:pPr>
    </w:p>
    <w:p w14:paraId="2B408868" w14:textId="77777777" w:rsidR="00836081" w:rsidRPr="00836081" w:rsidRDefault="004654CE" w:rsidP="00836081">
      <w:pPr>
        <w:pStyle w:val="NoSpacing"/>
        <w:numPr>
          <w:ilvl w:val="0"/>
          <w:numId w:val="1"/>
        </w:numPr>
        <w:jc w:val="both"/>
        <w:rPr>
          <w:b/>
          <w:bCs/>
          <w:u w:val="single"/>
        </w:rPr>
      </w:pPr>
      <w:r>
        <w:rPr>
          <w:b/>
          <w:bCs/>
          <w:u w:val="single"/>
        </w:rPr>
        <w:t xml:space="preserve">Principles </w:t>
      </w:r>
      <w:r w:rsidR="007B315B">
        <w:rPr>
          <w:b/>
          <w:bCs/>
          <w:u w:val="single"/>
        </w:rPr>
        <w:t>Governing</w:t>
      </w:r>
      <w:r>
        <w:rPr>
          <w:b/>
          <w:bCs/>
          <w:u w:val="single"/>
        </w:rPr>
        <w:t xml:space="preserve"> </w:t>
      </w:r>
      <w:r w:rsidR="007C7414" w:rsidRPr="00836081">
        <w:rPr>
          <w:b/>
          <w:bCs/>
          <w:u w:val="single"/>
        </w:rPr>
        <w:t>GWPC</w:t>
      </w:r>
      <w:r w:rsidR="007B315B">
        <w:rPr>
          <w:b/>
          <w:bCs/>
          <w:u w:val="single"/>
        </w:rPr>
        <w:t>’s</w:t>
      </w:r>
      <w:r w:rsidR="007C7414" w:rsidRPr="00836081">
        <w:rPr>
          <w:b/>
          <w:bCs/>
          <w:u w:val="single"/>
        </w:rPr>
        <w:t xml:space="preserve"> Allotment Sites Strategy</w:t>
      </w:r>
    </w:p>
    <w:p w14:paraId="65BDB753" w14:textId="77777777" w:rsidR="00836081" w:rsidRDefault="00836081" w:rsidP="00836081">
      <w:pPr>
        <w:pStyle w:val="NoSpacing"/>
        <w:ind w:left="360"/>
        <w:jc w:val="both"/>
      </w:pPr>
    </w:p>
    <w:p w14:paraId="3A2ED82C" w14:textId="77777777" w:rsidR="00836081" w:rsidRDefault="00836081" w:rsidP="00836081">
      <w:pPr>
        <w:pStyle w:val="NoSpacing"/>
        <w:ind w:left="360"/>
        <w:jc w:val="both"/>
      </w:pPr>
      <w:r>
        <w:t>The following principles underpin how GWPC administers the allotment sites detailed in section 2.</w:t>
      </w:r>
      <w:r w:rsidR="0011193F">
        <w:t>4</w:t>
      </w:r>
      <w:r>
        <w:t xml:space="preserve">: </w:t>
      </w:r>
    </w:p>
    <w:p w14:paraId="3227F4D7" w14:textId="77777777" w:rsidR="00836081" w:rsidRDefault="00836081" w:rsidP="00836081">
      <w:pPr>
        <w:pStyle w:val="NoSpacing"/>
        <w:ind w:left="792"/>
        <w:jc w:val="both"/>
      </w:pPr>
    </w:p>
    <w:p w14:paraId="41E8A250" w14:textId="77777777" w:rsidR="00836081" w:rsidRDefault="00836081" w:rsidP="00836081">
      <w:pPr>
        <w:pStyle w:val="NoSpacing"/>
        <w:numPr>
          <w:ilvl w:val="1"/>
          <w:numId w:val="1"/>
        </w:numPr>
        <w:jc w:val="both"/>
      </w:pPr>
      <w:r>
        <w:t xml:space="preserve">All decisions made by GWPC in conjunction with the </w:t>
      </w:r>
      <w:r w:rsidR="002A6F9D">
        <w:t xml:space="preserve">management of the </w:t>
      </w:r>
      <w:r>
        <w:t>allotment sites must be consistent with its agreed policies</w:t>
      </w:r>
      <w:r>
        <w:rPr>
          <w:rStyle w:val="FootnoteReference"/>
        </w:rPr>
        <w:footnoteReference w:id="10"/>
      </w:r>
      <w:r>
        <w:t>.  GWPC will always make its decisions and take actions consistent with the protected characteristics of individuals, as defined in the Equality Act 2010.</w:t>
      </w:r>
    </w:p>
    <w:p w14:paraId="14A7B879" w14:textId="77777777" w:rsidR="00863250" w:rsidRDefault="00863250" w:rsidP="00863250">
      <w:pPr>
        <w:pStyle w:val="NoSpacing"/>
        <w:ind w:left="792"/>
        <w:jc w:val="both"/>
      </w:pPr>
    </w:p>
    <w:p w14:paraId="015CB288" w14:textId="77777777" w:rsidR="00863250" w:rsidRDefault="00863250" w:rsidP="00863250">
      <w:pPr>
        <w:pStyle w:val="NoSpacing"/>
        <w:numPr>
          <w:ilvl w:val="1"/>
          <w:numId w:val="1"/>
        </w:numPr>
        <w:jc w:val="both"/>
      </w:pPr>
      <w:r>
        <w:t>GWPC will ma</w:t>
      </w:r>
      <w:r w:rsidR="0056778D">
        <w:t xml:space="preserve">nage the </w:t>
      </w:r>
      <w:r>
        <w:t xml:space="preserve">‘communal areas’ of its allotment sites </w:t>
      </w:r>
      <w:r w:rsidR="0056778D">
        <w:t xml:space="preserve">so that they are </w:t>
      </w:r>
      <w:r>
        <w:t xml:space="preserve">safe and well-maintained and </w:t>
      </w:r>
      <w:r w:rsidR="0056778D">
        <w:t xml:space="preserve">will </w:t>
      </w:r>
      <w:r>
        <w:t xml:space="preserve">keep any unused plots </w:t>
      </w:r>
      <w:r w:rsidRPr="00863250">
        <w:t>safe, clean</w:t>
      </w:r>
      <w:r>
        <w:t xml:space="preserve"> and </w:t>
      </w:r>
      <w:r w:rsidRPr="00863250">
        <w:t>free from weeds</w:t>
      </w:r>
      <w:r>
        <w:t xml:space="preserve"> (in anticipation of new hirers taking them over).</w:t>
      </w:r>
    </w:p>
    <w:p w14:paraId="5C39C433" w14:textId="77777777" w:rsidR="00863250" w:rsidRDefault="00863250" w:rsidP="00863250">
      <w:pPr>
        <w:pStyle w:val="NoSpacing"/>
        <w:ind w:left="792"/>
        <w:jc w:val="both"/>
      </w:pPr>
    </w:p>
    <w:p w14:paraId="2F28CC98" w14:textId="77777777" w:rsidR="00863250" w:rsidRDefault="00836081" w:rsidP="00863250">
      <w:pPr>
        <w:pStyle w:val="NoSpacing"/>
        <w:numPr>
          <w:ilvl w:val="1"/>
          <w:numId w:val="1"/>
        </w:numPr>
        <w:jc w:val="both"/>
      </w:pPr>
      <w:r>
        <w:t>GWPC will aspire to make its allotment sites as inclusive for as many sub-tenants as possible.</w:t>
      </w:r>
    </w:p>
    <w:p w14:paraId="4B3DB005" w14:textId="77777777" w:rsidR="00863250" w:rsidRDefault="00863250" w:rsidP="00863250">
      <w:pPr>
        <w:pStyle w:val="NoSpacing"/>
        <w:ind w:left="792"/>
        <w:jc w:val="both"/>
      </w:pPr>
    </w:p>
    <w:p w14:paraId="189690A0" w14:textId="77777777" w:rsidR="00863250" w:rsidRDefault="00836081" w:rsidP="00863250">
      <w:pPr>
        <w:pStyle w:val="NoSpacing"/>
        <w:numPr>
          <w:ilvl w:val="1"/>
          <w:numId w:val="1"/>
        </w:numPr>
        <w:jc w:val="both"/>
      </w:pPr>
      <w:r>
        <w:t xml:space="preserve">GWPC will aspire to </w:t>
      </w:r>
      <w:r w:rsidR="00863250">
        <w:t xml:space="preserve">making its allotment sites as accessible as possible for sub-tenants </w:t>
      </w:r>
      <w:r>
        <w:t>with disabilities.</w:t>
      </w:r>
    </w:p>
    <w:p w14:paraId="633717AD" w14:textId="77777777" w:rsidR="00863250" w:rsidRDefault="00863250" w:rsidP="00863250">
      <w:pPr>
        <w:pStyle w:val="NoSpacing"/>
        <w:ind w:left="792"/>
        <w:jc w:val="both"/>
      </w:pPr>
    </w:p>
    <w:p w14:paraId="5394219C" w14:textId="77777777" w:rsidR="00863250" w:rsidRDefault="00836081" w:rsidP="00863250">
      <w:pPr>
        <w:pStyle w:val="NoSpacing"/>
        <w:numPr>
          <w:ilvl w:val="1"/>
          <w:numId w:val="1"/>
        </w:numPr>
        <w:jc w:val="both"/>
      </w:pPr>
      <w:r>
        <w:t>GWPC will aspire to ensure all parts of its recreation grounds are accessible all year round.</w:t>
      </w:r>
    </w:p>
    <w:p w14:paraId="74DA4EBC" w14:textId="77777777" w:rsidR="00863250" w:rsidRDefault="00863250" w:rsidP="00863250">
      <w:pPr>
        <w:pStyle w:val="NoSpacing"/>
        <w:ind w:left="792"/>
        <w:jc w:val="both"/>
      </w:pPr>
    </w:p>
    <w:p w14:paraId="760B862B" w14:textId="77777777" w:rsidR="00836081" w:rsidRDefault="00836081" w:rsidP="00863250">
      <w:pPr>
        <w:pStyle w:val="NoSpacing"/>
        <w:numPr>
          <w:ilvl w:val="1"/>
          <w:numId w:val="1"/>
        </w:numPr>
        <w:jc w:val="both"/>
      </w:pPr>
      <w:r>
        <w:t xml:space="preserve">All activities undertaken by GWPC in conjunction with its </w:t>
      </w:r>
      <w:r w:rsidR="00863250">
        <w:t xml:space="preserve">allotment sites </w:t>
      </w:r>
      <w:r>
        <w:t>will be subject to any and all relevant legal, regulatory and financial requirements and constraints.</w:t>
      </w:r>
    </w:p>
    <w:p w14:paraId="332713D6" w14:textId="77777777" w:rsidR="00836081" w:rsidRDefault="00836081" w:rsidP="00836081">
      <w:pPr>
        <w:pStyle w:val="NoSpacing"/>
        <w:ind w:left="360"/>
        <w:jc w:val="both"/>
      </w:pPr>
    </w:p>
    <w:p w14:paraId="7D30C816" w14:textId="77777777" w:rsidR="007C7414" w:rsidRPr="00424E92" w:rsidRDefault="007C7414" w:rsidP="007C7414">
      <w:pPr>
        <w:pStyle w:val="NoSpacing"/>
        <w:numPr>
          <w:ilvl w:val="0"/>
          <w:numId w:val="1"/>
        </w:numPr>
        <w:jc w:val="both"/>
        <w:rPr>
          <w:b/>
          <w:bCs/>
          <w:u w:val="single"/>
        </w:rPr>
      </w:pPr>
      <w:r w:rsidRPr="00424E92">
        <w:rPr>
          <w:b/>
          <w:bCs/>
          <w:u w:val="single"/>
        </w:rPr>
        <w:t>Risk Assessments and Inspections</w:t>
      </w:r>
    </w:p>
    <w:p w14:paraId="537901E8" w14:textId="77777777" w:rsidR="004654CE" w:rsidRDefault="004654CE" w:rsidP="004654CE">
      <w:pPr>
        <w:pStyle w:val="NoSpacing"/>
        <w:ind w:left="792"/>
        <w:jc w:val="both"/>
      </w:pPr>
    </w:p>
    <w:p w14:paraId="644AFC51" w14:textId="77777777" w:rsidR="004654CE" w:rsidRDefault="004654CE" w:rsidP="004654CE">
      <w:pPr>
        <w:pStyle w:val="NoSpacing"/>
        <w:numPr>
          <w:ilvl w:val="1"/>
          <w:numId w:val="1"/>
        </w:numPr>
        <w:jc w:val="both"/>
      </w:pPr>
      <w:r>
        <w:t xml:space="preserve">GWPC undertakes weekly inspections of the play equipment </w:t>
      </w:r>
      <w:r w:rsidR="00424E92">
        <w:t xml:space="preserve">and other facilities </w:t>
      </w:r>
      <w:r>
        <w:t>installed at its recreation grounds.</w:t>
      </w:r>
    </w:p>
    <w:p w14:paraId="2BBEA3DE" w14:textId="77777777" w:rsidR="00424E92" w:rsidRDefault="00424E92" w:rsidP="00424E92">
      <w:pPr>
        <w:pStyle w:val="NoSpacing"/>
        <w:ind w:left="792"/>
        <w:jc w:val="both"/>
      </w:pPr>
    </w:p>
    <w:p w14:paraId="4BA13977" w14:textId="0CEACAE1" w:rsidR="00424E92" w:rsidRDefault="00424E92" w:rsidP="004654CE">
      <w:pPr>
        <w:pStyle w:val="NoSpacing"/>
        <w:numPr>
          <w:ilvl w:val="1"/>
          <w:numId w:val="1"/>
        </w:numPr>
        <w:jc w:val="both"/>
      </w:pPr>
      <w:r>
        <w:t>The Pavilion at Great Waltham Recreation Ground has dedicated caretaking resources which ident</w:t>
      </w:r>
      <w:r w:rsidR="00C758B4">
        <w:t>if</w:t>
      </w:r>
      <w:r>
        <w:t>y</w:t>
      </w:r>
      <w:r w:rsidR="00011421">
        <w:t xml:space="preserve"> </w:t>
      </w:r>
      <w:r>
        <w:t>health and safety issues at the premises.</w:t>
      </w:r>
      <w:r w:rsidR="00DA2B67">
        <w:t xml:space="preserve">  The building is also subject to an annual fire risk assessment.</w:t>
      </w:r>
      <w:r>
        <w:t xml:space="preserve"> </w:t>
      </w:r>
    </w:p>
    <w:p w14:paraId="03265E74" w14:textId="77777777" w:rsidR="004654CE" w:rsidRDefault="004654CE" w:rsidP="004654CE">
      <w:pPr>
        <w:pStyle w:val="NoSpacing"/>
        <w:ind w:left="792"/>
        <w:jc w:val="both"/>
      </w:pPr>
    </w:p>
    <w:p w14:paraId="720241E8" w14:textId="7264EFBB" w:rsidR="004654CE" w:rsidRDefault="004654CE" w:rsidP="004654CE">
      <w:pPr>
        <w:pStyle w:val="NoSpacing"/>
        <w:numPr>
          <w:ilvl w:val="1"/>
          <w:numId w:val="1"/>
        </w:numPr>
        <w:jc w:val="both"/>
      </w:pPr>
      <w:r>
        <w:t>GWPC commission</w:t>
      </w:r>
      <w:r w:rsidR="00011421">
        <w:t>s</w:t>
      </w:r>
      <w:r>
        <w:t xml:space="preserve"> an annual inspection of its recreation grounds by an independent inspection service provider.  The agreed recommended actions made in the inspection service provider’s report are implemented as soon as possible.</w:t>
      </w:r>
    </w:p>
    <w:p w14:paraId="5BA76335" w14:textId="77777777" w:rsidR="004654CE" w:rsidRDefault="004654CE" w:rsidP="004654CE">
      <w:pPr>
        <w:pStyle w:val="NoSpacing"/>
        <w:ind w:left="792"/>
        <w:jc w:val="both"/>
      </w:pPr>
    </w:p>
    <w:p w14:paraId="3F95D7D3" w14:textId="77777777" w:rsidR="004654CE" w:rsidRDefault="004654CE" w:rsidP="004654CE">
      <w:pPr>
        <w:pStyle w:val="NoSpacing"/>
        <w:numPr>
          <w:ilvl w:val="1"/>
          <w:numId w:val="1"/>
        </w:numPr>
        <w:jc w:val="both"/>
      </w:pPr>
      <w:r>
        <w:t xml:space="preserve">GWPC undertakes at least monthly inspections of its allotment sites to ensure that sub-tenants are adhering to the terms and conditions of hiring detailed in the Allotment Agreement, and that GWPC’s obligations in relation to the safety of sub-tenants and other authorised persons </w:t>
      </w:r>
      <w:r w:rsidR="00424E92">
        <w:t>on the sites are being met.</w:t>
      </w:r>
    </w:p>
    <w:p w14:paraId="72857EE2" w14:textId="77777777" w:rsidR="00C90D12" w:rsidRDefault="00C90D12" w:rsidP="00C90D12">
      <w:pPr>
        <w:pStyle w:val="NoSpacing"/>
        <w:ind w:left="792"/>
        <w:jc w:val="both"/>
      </w:pPr>
    </w:p>
    <w:p w14:paraId="06619E04" w14:textId="77777777" w:rsidR="00C90D12" w:rsidRDefault="00C90D12" w:rsidP="00C90D12">
      <w:pPr>
        <w:pStyle w:val="NoSpacing"/>
        <w:numPr>
          <w:ilvl w:val="1"/>
          <w:numId w:val="1"/>
        </w:numPr>
        <w:jc w:val="both"/>
      </w:pPr>
      <w:r>
        <w:t>Issues arising from risk assessments and inspections at the recreation grounds and allotment sites are managed by GWPC’s Recreation Committee.</w:t>
      </w:r>
    </w:p>
    <w:p w14:paraId="69F7A0F2" w14:textId="77777777" w:rsidR="00C90D12" w:rsidRDefault="00C90D12" w:rsidP="00C90D12">
      <w:pPr>
        <w:pStyle w:val="NoSpacing"/>
        <w:ind w:left="792"/>
        <w:jc w:val="both"/>
      </w:pPr>
    </w:p>
    <w:p w14:paraId="5BE6452B" w14:textId="254DC07D" w:rsidR="00512BBB" w:rsidRDefault="00512BBB" w:rsidP="004654CE">
      <w:pPr>
        <w:pStyle w:val="NoSpacing"/>
        <w:numPr>
          <w:ilvl w:val="1"/>
          <w:numId w:val="1"/>
        </w:numPr>
        <w:jc w:val="both"/>
      </w:pPr>
      <w:r>
        <w:t xml:space="preserve">GWPC has an Allotments Supervisor </w:t>
      </w:r>
      <w:r w:rsidR="00C758B4">
        <w:t>position</w:t>
      </w:r>
      <w:r>
        <w:t>.  Th</w:t>
      </w:r>
      <w:r w:rsidR="00C758B4">
        <w:t xml:space="preserve">is </w:t>
      </w:r>
      <w:r>
        <w:t xml:space="preserve">person’s </w:t>
      </w:r>
      <w:r w:rsidR="00C758B4">
        <w:t xml:space="preserve">role </w:t>
      </w:r>
      <w:r>
        <w:t>is to understand and manage sub-</w:t>
      </w:r>
      <w:r w:rsidR="00C758B4">
        <w:t>tenants’</w:t>
      </w:r>
      <w:r>
        <w:t xml:space="preserve"> queries and concerns, </w:t>
      </w:r>
      <w:r w:rsidR="00C758B4">
        <w:t xml:space="preserve">and working </w:t>
      </w:r>
      <w:r>
        <w:t xml:space="preserve">in close liaison </w:t>
      </w:r>
      <w:r w:rsidR="00C90D12">
        <w:t xml:space="preserve">with the Parish Clerk </w:t>
      </w:r>
      <w:r>
        <w:t xml:space="preserve">and the </w:t>
      </w:r>
      <w:r w:rsidR="00C90D12">
        <w:t>Recreation Committee</w:t>
      </w:r>
      <w:r w:rsidR="00C758B4">
        <w:t>, to apply GWPC policies to engineer mutually acceptable outcomes</w:t>
      </w:r>
      <w:r w:rsidR="00C90D12">
        <w:t>.</w:t>
      </w:r>
    </w:p>
    <w:p w14:paraId="2BF879FC" w14:textId="77777777" w:rsidR="00424E92" w:rsidRDefault="00424E92" w:rsidP="00424E92">
      <w:pPr>
        <w:pStyle w:val="NoSpacing"/>
        <w:ind w:left="792"/>
        <w:jc w:val="both"/>
      </w:pPr>
    </w:p>
    <w:p w14:paraId="766C7995" w14:textId="77777777" w:rsidR="00424E92" w:rsidRDefault="00424E92" w:rsidP="004654CE">
      <w:pPr>
        <w:pStyle w:val="NoSpacing"/>
        <w:numPr>
          <w:ilvl w:val="1"/>
          <w:numId w:val="1"/>
        </w:numPr>
        <w:jc w:val="both"/>
      </w:pPr>
      <w:r>
        <w:t>GWPC employs a handyperson to undertake remedial work at its recreational facilities.  When external resource is required to effect such work GWPC will commission external contractors and/or secure volunteer services.</w:t>
      </w:r>
    </w:p>
    <w:p w14:paraId="3A813C72" w14:textId="77777777" w:rsidR="00424E92" w:rsidRDefault="00424E92" w:rsidP="00424E92">
      <w:pPr>
        <w:pStyle w:val="NoSpacing"/>
        <w:ind w:left="360"/>
        <w:jc w:val="both"/>
      </w:pPr>
    </w:p>
    <w:p w14:paraId="0AF8A9E0" w14:textId="77777777" w:rsidR="00424E92" w:rsidRPr="00C90D12" w:rsidRDefault="00C90D12" w:rsidP="00424E92">
      <w:pPr>
        <w:pStyle w:val="NoSpacing"/>
        <w:numPr>
          <w:ilvl w:val="0"/>
          <w:numId w:val="1"/>
        </w:numPr>
        <w:jc w:val="both"/>
        <w:rPr>
          <w:b/>
          <w:bCs/>
          <w:u w:val="single"/>
        </w:rPr>
      </w:pPr>
      <w:r>
        <w:rPr>
          <w:b/>
          <w:bCs/>
          <w:u w:val="single"/>
        </w:rPr>
        <w:t>GWPC 5-year Strategic Plan (2023-</w:t>
      </w:r>
      <w:r w:rsidR="00BC5D33">
        <w:rPr>
          <w:b/>
          <w:bCs/>
          <w:u w:val="single"/>
        </w:rPr>
        <w:t>2027</w:t>
      </w:r>
      <w:r>
        <w:rPr>
          <w:b/>
          <w:bCs/>
          <w:u w:val="single"/>
        </w:rPr>
        <w:t>)</w:t>
      </w:r>
    </w:p>
    <w:p w14:paraId="00999C4B" w14:textId="77777777" w:rsidR="00424E92" w:rsidRDefault="00424E92" w:rsidP="00424E92">
      <w:pPr>
        <w:pStyle w:val="NoSpacing"/>
        <w:ind w:left="360"/>
        <w:jc w:val="both"/>
      </w:pPr>
    </w:p>
    <w:p w14:paraId="200D9947" w14:textId="77777777" w:rsidR="0011193F" w:rsidRDefault="0011193F" w:rsidP="00424E92">
      <w:pPr>
        <w:pStyle w:val="NoSpacing"/>
        <w:ind w:left="360"/>
        <w:jc w:val="both"/>
        <w:rPr>
          <w:u w:val="single"/>
        </w:rPr>
      </w:pPr>
      <w:r>
        <w:rPr>
          <w:u w:val="single"/>
        </w:rPr>
        <w:t>Recreation Grounds</w:t>
      </w:r>
    </w:p>
    <w:p w14:paraId="44BDFCD4" w14:textId="77777777" w:rsidR="0011193F" w:rsidRPr="0011193F" w:rsidRDefault="0011193F" w:rsidP="00424E92">
      <w:pPr>
        <w:pStyle w:val="NoSpacing"/>
        <w:ind w:left="360"/>
        <w:jc w:val="both"/>
        <w:rPr>
          <w:u w:val="single"/>
        </w:rPr>
      </w:pPr>
    </w:p>
    <w:p w14:paraId="479933A9" w14:textId="77777777" w:rsidR="00424E92" w:rsidRDefault="00424E92" w:rsidP="00424E92">
      <w:pPr>
        <w:pStyle w:val="NoSpacing"/>
        <w:numPr>
          <w:ilvl w:val="1"/>
          <w:numId w:val="1"/>
        </w:numPr>
        <w:jc w:val="both"/>
      </w:pPr>
      <w:r>
        <w:t xml:space="preserve">In relation to its recreation grounds, GWPC’s strategy for </w:t>
      </w:r>
      <w:r w:rsidR="00153784">
        <w:t>2023-</w:t>
      </w:r>
      <w:r w:rsidR="00BC5D33">
        <w:t>2027</w:t>
      </w:r>
      <w:r>
        <w:t xml:space="preserve"> is to:</w:t>
      </w:r>
    </w:p>
    <w:p w14:paraId="5B5FA612" w14:textId="77777777" w:rsidR="00424E92" w:rsidRDefault="00424E92" w:rsidP="00424E92">
      <w:pPr>
        <w:pStyle w:val="NoSpacing"/>
        <w:ind w:left="792"/>
        <w:jc w:val="both"/>
      </w:pPr>
    </w:p>
    <w:p w14:paraId="7F72EBE8" w14:textId="77777777" w:rsidR="00424E92" w:rsidRDefault="00424E92" w:rsidP="00424E92">
      <w:pPr>
        <w:pStyle w:val="NoSpacing"/>
        <w:numPr>
          <w:ilvl w:val="2"/>
          <w:numId w:val="1"/>
        </w:numPr>
        <w:ind w:left="1560" w:hanging="709"/>
        <w:jc w:val="both"/>
      </w:pPr>
      <w:r>
        <w:t>Effect any remedial</w:t>
      </w:r>
      <w:r w:rsidR="007B315B">
        <w:t xml:space="preserve">, </w:t>
      </w:r>
      <w:r>
        <w:t xml:space="preserve">improvement </w:t>
      </w:r>
      <w:r w:rsidR="007B315B">
        <w:t xml:space="preserve">or maintenance </w:t>
      </w:r>
      <w:r>
        <w:t>works in accordance with the principles detailed in section 3, above.</w:t>
      </w:r>
    </w:p>
    <w:p w14:paraId="76D12EA5" w14:textId="77777777" w:rsidR="00C90D12" w:rsidRDefault="00C90D12" w:rsidP="00C90D12">
      <w:pPr>
        <w:pStyle w:val="NoSpacing"/>
        <w:ind w:left="1560"/>
        <w:jc w:val="both"/>
      </w:pPr>
    </w:p>
    <w:p w14:paraId="51F76A73" w14:textId="45DED42A" w:rsidR="00512BBB" w:rsidRDefault="007B315B" w:rsidP="00424E92">
      <w:pPr>
        <w:pStyle w:val="NoSpacing"/>
        <w:numPr>
          <w:ilvl w:val="2"/>
          <w:numId w:val="1"/>
        </w:numPr>
        <w:ind w:left="1560" w:hanging="709"/>
        <w:jc w:val="both"/>
      </w:pPr>
      <w:r>
        <w:t>Design and i</w:t>
      </w:r>
      <w:r w:rsidR="00424E92">
        <w:t xml:space="preserve">mplement a rolling programme to replace play equipment as items come to </w:t>
      </w:r>
      <w:r w:rsidR="00512BBB">
        <w:t xml:space="preserve">the end of </w:t>
      </w:r>
      <w:r w:rsidR="00424E92">
        <w:t>their</w:t>
      </w:r>
      <w:r w:rsidR="00512BBB">
        <w:t xml:space="preserve"> working lives.</w:t>
      </w:r>
      <w:r w:rsidR="00DA2B67">
        <w:t xml:space="preserve">  A working group has been created to assess the long-term requirements needed for the play area at Great Waltham Recreation Ground, and accordingly to make recommendations for replacing equipment.</w:t>
      </w:r>
    </w:p>
    <w:p w14:paraId="1BBB9705" w14:textId="77777777" w:rsidR="00C90D12" w:rsidRDefault="00C90D12" w:rsidP="00C90D12">
      <w:pPr>
        <w:pStyle w:val="NoSpacing"/>
        <w:jc w:val="both"/>
      </w:pPr>
    </w:p>
    <w:p w14:paraId="069D5B1C" w14:textId="0183C334" w:rsidR="00512BBB" w:rsidRDefault="00512BBB" w:rsidP="00424E92">
      <w:pPr>
        <w:pStyle w:val="NoSpacing"/>
        <w:numPr>
          <w:ilvl w:val="2"/>
          <w:numId w:val="1"/>
        </w:numPr>
        <w:ind w:left="1560" w:hanging="709"/>
        <w:jc w:val="both"/>
      </w:pPr>
      <w:r>
        <w:t>Replace existing wooden play equipment with metal equivalents or better</w:t>
      </w:r>
      <w:r w:rsidR="009E380A">
        <w:t xml:space="preserve"> (and where possible, recycled materials), to improve longevity and overall value for money.</w:t>
      </w:r>
    </w:p>
    <w:p w14:paraId="5DBCEECD" w14:textId="77777777" w:rsidR="00153784" w:rsidRDefault="00153784" w:rsidP="00153784">
      <w:pPr>
        <w:pStyle w:val="NoSpacing"/>
        <w:ind w:left="1560"/>
        <w:jc w:val="both"/>
      </w:pPr>
    </w:p>
    <w:p w14:paraId="34222011" w14:textId="77777777" w:rsidR="00153784" w:rsidRDefault="00153784" w:rsidP="00424E92">
      <w:pPr>
        <w:pStyle w:val="NoSpacing"/>
        <w:numPr>
          <w:ilvl w:val="2"/>
          <w:numId w:val="1"/>
        </w:numPr>
        <w:ind w:left="1560" w:hanging="709"/>
        <w:jc w:val="both"/>
      </w:pPr>
      <w:r>
        <w:t>To organise or facilitate events at the sites which promote their greater use by all members of the public.</w:t>
      </w:r>
    </w:p>
    <w:p w14:paraId="1C34EDBE" w14:textId="77777777" w:rsidR="00512BBB" w:rsidRDefault="00512BBB" w:rsidP="0011193F">
      <w:pPr>
        <w:pStyle w:val="NoSpacing"/>
        <w:ind w:left="426"/>
        <w:jc w:val="both"/>
      </w:pPr>
    </w:p>
    <w:p w14:paraId="35914307" w14:textId="23FF82B3" w:rsidR="00A24AF4" w:rsidRDefault="008A4B70" w:rsidP="00F80090">
      <w:pPr>
        <w:rPr>
          <w:u w:val="single"/>
        </w:rPr>
      </w:pPr>
      <w:r>
        <w:rPr>
          <w:u w:val="single"/>
        </w:rPr>
        <w:br w:type="page"/>
      </w:r>
      <w:r w:rsidR="00A24AF4">
        <w:rPr>
          <w:u w:val="single"/>
        </w:rPr>
        <w:lastRenderedPageBreak/>
        <w:t>Allotments</w:t>
      </w:r>
    </w:p>
    <w:p w14:paraId="489FF7FB" w14:textId="77777777" w:rsidR="00512BBB" w:rsidRDefault="00512BBB" w:rsidP="00512BBB">
      <w:pPr>
        <w:pStyle w:val="NoSpacing"/>
        <w:numPr>
          <w:ilvl w:val="1"/>
          <w:numId w:val="1"/>
        </w:numPr>
        <w:jc w:val="both"/>
      </w:pPr>
      <w:r>
        <w:t xml:space="preserve">In relation to its allotment sites, GWPC’s strategy for </w:t>
      </w:r>
      <w:r w:rsidR="00153784">
        <w:t>2023-</w:t>
      </w:r>
      <w:r w:rsidR="00BC5D33">
        <w:t>2027</w:t>
      </w:r>
      <w:r w:rsidR="00153784">
        <w:t xml:space="preserve"> </w:t>
      </w:r>
      <w:r>
        <w:t>is to:</w:t>
      </w:r>
    </w:p>
    <w:p w14:paraId="3BF94069" w14:textId="77777777" w:rsidR="00512BBB" w:rsidRDefault="00512BBB" w:rsidP="00512BBB">
      <w:pPr>
        <w:pStyle w:val="NoSpacing"/>
        <w:ind w:left="1560"/>
        <w:jc w:val="both"/>
      </w:pPr>
    </w:p>
    <w:p w14:paraId="6428C905" w14:textId="77777777" w:rsidR="00512BBB" w:rsidRDefault="00512BBB" w:rsidP="00512BBB">
      <w:pPr>
        <w:pStyle w:val="NoSpacing"/>
        <w:numPr>
          <w:ilvl w:val="2"/>
          <w:numId w:val="1"/>
        </w:numPr>
        <w:ind w:left="1560" w:hanging="709"/>
        <w:jc w:val="both"/>
      </w:pPr>
      <w:r>
        <w:t>Maximise usage at the sites.  The aspiration is to have the sites fully sub-tenanted at all times.</w:t>
      </w:r>
    </w:p>
    <w:p w14:paraId="0BB4AC98" w14:textId="77777777" w:rsidR="00512BBB" w:rsidRDefault="00512BBB" w:rsidP="00512BBB">
      <w:pPr>
        <w:pStyle w:val="NoSpacing"/>
        <w:ind w:left="1560"/>
        <w:jc w:val="both"/>
      </w:pPr>
    </w:p>
    <w:p w14:paraId="2D4E0CA6" w14:textId="77777777" w:rsidR="00512BBB" w:rsidRDefault="00512BBB" w:rsidP="00512BBB">
      <w:pPr>
        <w:pStyle w:val="NoSpacing"/>
        <w:numPr>
          <w:ilvl w:val="2"/>
          <w:numId w:val="1"/>
        </w:numPr>
        <w:ind w:left="1560" w:hanging="709"/>
        <w:jc w:val="both"/>
      </w:pPr>
      <w:r>
        <w:t>Maintain and improve the designated ‘communal areas’ at the sites.</w:t>
      </w:r>
    </w:p>
    <w:p w14:paraId="26481672" w14:textId="77777777" w:rsidR="00C90D12" w:rsidRDefault="00C90D12" w:rsidP="00C90D12">
      <w:pPr>
        <w:pStyle w:val="NoSpacing"/>
        <w:ind w:left="1560"/>
        <w:jc w:val="both"/>
      </w:pPr>
    </w:p>
    <w:p w14:paraId="3691DA99" w14:textId="77777777" w:rsidR="00153784" w:rsidRDefault="00512BBB" w:rsidP="00153784">
      <w:pPr>
        <w:pStyle w:val="NoSpacing"/>
        <w:numPr>
          <w:ilvl w:val="2"/>
          <w:numId w:val="1"/>
        </w:numPr>
        <w:ind w:left="1560" w:hanging="709"/>
        <w:jc w:val="both"/>
      </w:pPr>
      <w:r>
        <w:t xml:space="preserve">Maintain </w:t>
      </w:r>
      <w:r w:rsidR="007B315B">
        <w:t>the</w:t>
      </w:r>
      <w:r>
        <w:t xml:space="preserve"> Allotments Supervisor role.</w:t>
      </w:r>
    </w:p>
    <w:p w14:paraId="247CD4B8" w14:textId="77777777" w:rsidR="00011421" w:rsidRDefault="00011421" w:rsidP="00A24AF4">
      <w:pPr>
        <w:pStyle w:val="NoSpacing"/>
        <w:ind w:left="360"/>
        <w:jc w:val="both"/>
        <w:rPr>
          <w:u w:val="single"/>
        </w:rPr>
      </w:pPr>
    </w:p>
    <w:p w14:paraId="4BBAA361" w14:textId="01FB65CB" w:rsidR="00A24AF4" w:rsidRDefault="00A24AF4" w:rsidP="00A24AF4">
      <w:pPr>
        <w:pStyle w:val="NoSpacing"/>
        <w:ind w:left="360"/>
        <w:jc w:val="both"/>
        <w:rPr>
          <w:u w:val="single"/>
        </w:rPr>
      </w:pPr>
      <w:r>
        <w:rPr>
          <w:u w:val="single"/>
        </w:rPr>
        <w:t>Other areas</w:t>
      </w:r>
    </w:p>
    <w:p w14:paraId="521AACF5" w14:textId="77777777" w:rsidR="00A24AF4" w:rsidRDefault="00A24AF4" w:rsidP="00A24AF4">
      <w:pPr>
        <w:pStyle w:val="NoSpacing"/>
        <w:jc w:val="both"/>
      </w:pPr>
    </w:p>
    <w:p w14:paraId="646A2258" w14:textId="77777777" w:rsidR="00C90D12" w:rsidRDefault="00C90D12" w:rsidP="00C90D12">
      <w:pPr>
        <w:pStyle w:val="NoSpacing"/>
        <w:numPr>
          <w:ilvl w:val="1"/>
          <w:numId w:val="1"/>
        </w:numPr>
        <w:jc w:val="both"/>
      </w:pPr>
      <w:r>
        <w:t xml:space="preserve">In relation to all other </w:t>
      </w:r>
      <w:r w:rsidR="0011193F">
        <w:t xml:space="preserve">areas </w:t>
      </w:r>
      <w:r>
        <w:t>for which it has responsibility</w:t>
      </w:r>
      <w:r w:rsidR="002A6F9D">
        <w:t xml:space="preserve"> (see section 2.</w:t>
      </w:r>
      <w:r w:rsidR="0011193F">
        <w:t>5</w:t>
      </w:r>
      <w:r w:rsidR="002A6F9D">
        <w:t>)</w:t>
      </w:r>
      <w:r>
        <w:t xml:space="preserve">, GWPC’s strategy for </w:t>
      </w:r>
      <w:r w:rsidR="00153784">
        <w:t>2023-</w:t>
      </w:r>
      <w:r w:rsidR="00BC5D33">
        <w:t>2027</w:t>
      </w:r>
      <w:r>
        <w:t xml:space="preserve"> is to:</w:t>
      </w:r>
    </w:p>
    <w:p w14:paraId="56B48706" w14:textId="77777777" w:rsidR="00C90D12" w:rsidRDefault="00C90D12" w:rsidP="00C90D12">
      <w:pPr>
        <w:pStyle w:val="NoSpacing"/>
        <w:ind w:left="1560"/>
        <w:jc w:val="both"/>
      </w:pPr>
    </w:p>
    <w:p w14:paraId="66ACD116" w14:textId="72F62E70" w:rsidR="00C90D12" w:rsidRDefault="00C90D12" w:rsidP="00C90D12">
      <w:pPr>
        <w:pStyle w:val="NoSpacing"/>
        <w:numPr>
          <w:ilvl w:val="2"/>
          <w:numId w:val="1"/>
        </w:numPr>
        <w:ind w:left="1560" w:hanging="709"/>
        <w:jc w:val="both"/>
      </w:pPr>
      <w:r>
        <w:t>Effect any remedial</w:t>
      </w:r>
      <w:r w:rsidR="007B315B">
        <w:t xml:space="preserve">, </w:t>
      </w:r>
      <w:r>
        <w:t xml:space="preserve">improvement </w:t>
      </w:r>
      <w:r w:rsidR="007B315B">
        <w:t xml:space="preserve">or maintenance </w:t>
      </w:r>
      <w:r>
        <w:t>works as they arise.</w:t>
      </w:r>
      <w:r w:rsidR="007B315B">
        <w:t xml:space="preserve">  In particular, </w:t>
      </w:r>
      <w:r w:rsidR="00153784">
        <w:t xml:space="preserve">it </w:t>
      </w:r>
      <w:r w:rsidR="007B315B">
        <w:t xml:space="preserve">will ensure the war memorial and fencing at Banbury Square is well maintained, especially in anticipation of Remembrance Day </w:t>
      </w:r>
      <w:r w:rsidR="00153784">
        <w:t xml:space="preserve">and other commemorative </w:t>
      </w:r>
      <w:r w:rsidR="007B315B">
        <w:t>events</w:t>
      </w:r>
      <w:r w:rsidR="005F457D">
        <w:t>, and that all sites are kept secure to deter unauthorised access.</w:t>
      </w:r>
    </w:p>
    <w:p w14:paraId="0EDE2604" w14:textId="77777777" w:rsidR="002A6F9D" w:rsidRDefault="002A6F9D" w:rsidP="002A6F9D">
      <w:pPr>
        <w:pStyle w:val="NoSpacing"/>
        <w:ind w:left="1560"/>
        <w:jc w:val="both"/>
      </w:pPr>
    </w:p>
    <w:p w14:paraId="7B6525F1" w14:textId="78D46740" w:rsidR="006B6F92" w:rsidRDefault="002A6F9D" w:rsidP="006B6F92">
      <w:pPr>
        <w:pStyle w:val="NoSpacing"/>
        <w:numPr>
          <w:ilvl w:val="2"/>
          <w:numId w:val="1"/>
        </w:numPr>
        <w:ind w:left="1560" w:hanging="709"/>
        <w:jc w:val="both"/>
      </w:pPr>
      <w:r>
        <w:t xml:space="preserve">Other than for the purposes indicated in 6.3.1, not make substantive alterations to the </w:t>
      </w:r>
      <w:r w:rsidR="0011193F">
        <w:t xml:space="preserve">existing </w:t>
      </w:r>
      <w:r>
        <w:t xml:space="preserve">appearance </w:t>
      </w:r>
      <w:r w:rsidR="00153784">
        <w:t>(</w:t>
      </w:r>
      <w:r>
        <w:t>or facilities</w:t>
      </w:r>
      <w:r w:rsidR="00153784">
        <w:t xml:space="preserve"> available)</w:t>
      </w:r>
      <w:r>
        <w:t xml:space="preserve"> at these locations.</w:t>
      </w:r>
    </w:p>
    <w:p w14:paraId="726D7B1E" w14:textId="77777777" w:rsidR="006B6F92" w:rsidRDefault="006B6F92" w:rsidP="006B6F92">
      <w:pPr>
        <w:pStyle w:val="NoSpacing"/>
        <w:ind w:left="1560"/>
        <w:jc w:val="both"/>
      </w:pPr>
    </w:p>
    <w:p w14:paraId="0B63ADC2" w14:textId="11815BA8" w:rsidR="00F264B6" w:rsidRPr="00006D84" w:rsidRDefault="002A6F9D" w:rsidP="00006D84">
      <w:pPr>
        <w:pStyle w:val="NoSpacing"/>
        <w:numPr>
          <w:ilvl w:val="2"/>
          <w:numId w:val="1"/>
        </w:numPr>
        <w:ind w:left="1560" w:hanging="709"/>
        <w:jc w:val="both"/>
      </w:pPr>
      <w:r>
        <w:t xml:space="preserve">In relation to the management of these sites, always  make </w:t>
      </w:r>
      <w:r w:rsidRPr="002A6F9D">
        <w:t xml:space="preserve"> its decisions and take actions consistent with the protected characteristics of individuals, as defined in the Equality Act 2010</w:t>
      </w:r>
      <w:r w:rsidR="006B6F92">
        <w:t>.</w:t>
      </w:r>
    </w:p>
    <w:sectPr w:rsidR="00F264B6" w:rsidRPr="00006D84" w:rsidSect="00395B5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1E94" w14:textId="77777777" w:rsidR="0072774A" w:rsidRDefault="0072774A" w:rsidP="00077C50">
      <w:pPr>
        <w:spacing w:after="0" w:line="240" w:lineRule="auto"/>
      </w:pPr>
      <w:r>
        <w:separator/>
      </w:r>
    </w:p>
  </w:endnote>
  <w:endnote w:type="continuationSeparator" w:id="0">
    <w:p w14:paraId="07BFACBE" w14:textId="77777777" w:rsidR="0072774A" w:rsidRDefault="0072774A" w:rsidP="0007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4FFD" w14:textId="77777777" w:rsidR="00F17285" w:rsidRDefault="00F17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802368"/>
      <w:docPartObj>
        <w:docPartGallery w:val="Page Numbers (Bottom of Page)"/>
        <w:docPartUnique/>
      </w:docPartObj>
    </w:sdtPr>
    <w:sdtEndPr>
      <w:rPr>
        <w:color w:val="7F7F7F" w:themeColor="background1" w:themeShade="7F"/>
        <w:spacing w:val="60"/>
      </w:rPr>
    </w:sdtEndPr>
    <w:sdtContent>
      <w:p w14:paraId="015026C3" w14:textId="77777777" w:rsidR="00D04E73" w:rsidRDefault="00000000">
        <w:pPr>
          <w:pStyle w:val="Footer"/>
          <w:pBdr>
            <w:top w:val="single" w:sz="4" w:space="1" w:color="D9D9D9" w:themeColor="background1" w:themeShade="D9"/>
          </w:pBdr>
          <w:jc w:val="right"/>
        </w:pPr>
        <w:r>
          <w:fldChar w:fldCharType="begin"/>
        </w:r>
        <w:r>
          <w:instrText xml:space="preserve"> PAGE   \* MERGEFORMAT </w:instrText>
        </w:r>
        <w:r>
          <w:fldChar w:fldCharType="separate"/>
        </w:r>
        <w:r w:rsidR="00E24D62">
          <w:rPr>
            <w:noProof/>
          </w:rPr>
          <w:t>1</w:t>
        </w:r>
        <w:r>
          <w:rPr>
            <w:noProof/>
          </w:rPr>
          <w:fldChar w:fldCharType="end"/>
        </w:r>
        <w:r w:rsidR="00D04E73">
          <w:t xml:space="preserve"> | </w:t>
        </w:r>
        <w:r w:rsidR="00D04E73">
          <w:rPr>
            <w:color w:val="7F7F7F" w:themeColor="background1" w:themeShade="7F"/>
            <w:spacing w:val="60"/>
          </w:rPr>
          <w:t>Page</w:t>
        </w:r>
      </w:p>
    </w:sdtContent>
  </w:sdt>
  <w:p w14:paraId="7AEBB78A" w14:textId="380DB0E0" w:rsidR="00D04E73" w:rsidRDefault="008A4B70">
    <w:pPr>
      <w:pStyle w:val="Footer"/>
    </w:pPr>
    <w:r>
      <w:t>August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A3FD" w14:textId="77777777" w:rsidR="00F17285" w:rsidRDefault="00F17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4A64" w14:textId="77777777" w:rsidR="0072774A" w:rsidRDefault="0072774A" w:rsidP="00077C50">
      <w:pPr>
        <w:spacing w:after="0" w:line="240" w:lineRule="auto"/>
      </w:pPr>
      <w:r>
        <w:separator/>
      </w:r>
    </w:p>
  </w:footnote>
  <w:footnote w:type="continuationSeparator" w:id="0">
    <w:p w14:paraId="68BA4CF4" w14:textId="77777777" w:rsidR="0072774A" w:rsidRDefault="0072774A" w:rsidP="00077C50">
      <w:pPr>
        <w:spacing w:after="0" w:line="240" w:lineRule="auto"/>
      </w:pPr>
      <w:r>
        <w:continuationSeparator/>
      </w:r>
    </w:p>
  </w:footnote>
  <w:footnote w:id="1">
    <w:p w14:paraId="2CC0FE3A" w14:textId="77777777" w:rsidR="00D04E73" w:rsidRPr="00006D84" w:rsidRDefault="00D04E73" w:rsidP="00B33B81">
      <w:pPr>
        <w:pStyle w:val="FootnoteText"/>
        <w:ind w:left="113" w:hanging="113"/>
        <w:rPr>
          <w:sz w:val="16"/>
          <w:szCs w:val="16"/>
        </w:rPr>
      </w:pPr>
      <w:r w:rsidRPr="00006D84">
        <w:rPr>
          <w:rStyle w:val="FootnoteReference"/>
          <w:sz w:val="16"/>
          <w:szCs w:val="16"/>
        </w:rPr>
        <w:footnoteRef/>
      </w:r>
      <w:r w:rsidRPr="00006D84">
        <w:rPr>
          <w:sz w:val="16"/>
          <w:szCs w:val="16"/>
        </w:rPr>
        <w:t xml:space="preserve"> See https://</w:t>
      </w:r>
      <w:hyperlink r:id="rId1" w:history="1">
        <w:r w:rsidRPr="00006D84">
          <w:rPr>
            <w:rStyle w:val="Hyperlink"/>
            <w:color w:val="auto"/>
            <w:sz w:val="16"/>
            <w:szCs w:val="16"/>
            <w:u w:val="none"/>
          </w:rPr>
          <w:t>www.citypopulation.de/en/uk/eastofengland/admin/chelmsford/E04003960__great_waltham/</w:t>
        </w:r>
      </w:hyperlink>
      <w:r w:rsidRPr="00006D84">
        <w:rPr>
          <w:sz w:val="16"/>
          <w:szCs w:val="16"/>
        </w:rPr>
        <w:t>.</w:t>
      </w:r>
    </w:p>
  </w:footnote>
  <w:footnote w:id="2">
    <w:p w14:paraId="02E5D1E3" w14:textId="77777777" w:rsidR="00D04E73" w:rsidRPr="00006D84" w:rsidRDefault="00D04E73" w:rsidP="00B33B81">
      <w:pPr>
        <w:pStyle w:val="FootnoteText"/>
        <w:ind w:left="113" w:hanging="113"/>
        <w:rPr>
          <w:sz w:val="16"/>
          <w:szCs w:val="16"/>
        </w:rPr>
      </w:pPr>
      <w:r w:rsidRPr="00006D84">
        <w:rPr>
          <w:rStyle w:val="FootnoteReference"/>
          <w:sz w:val="16"/>
          <w:szCs w:val="16"/>
        </w:rPr>
        <w:footnoteRef/>
      </w:r>
      <w:r w:rsidRPr="00006D84">
        <w:rPr>
          <w:sz w:val="16"/>
          <w:szCs w:val="16"/>
        </w:rPr>
        <w:t xml:space="preserve"> See </w:t>
      </w:r>
      <w:hyperlink r:id="rId2" w:history="1">
        <w:r w:rsidRPr="00006D84">
          <w:rPr>
            <w:rStyle w:val="Hyperlink"/>
            <w:color w:val="auto"/>
            <w:sz w:val="16"/>
            <w:szCs w:val="16"/>
            <w:u w:val="none"/>
          </w:rPr>
          <w:t>https://e-voice.org.uk/greatwalthamparish/a/42828227-46323418</w:t>
        </w:r>
      </w:hyperlink>
      <w:r w:rsidRPr="00006D84">
        <w:rPr>
          <w:sz w:val="16"/>
          <w:szCs w:val="16"/>
        </w:rPr>
        <w:t>.</w:t>
      </w:r>
    </w:p>
  </w:footnote>
  <w:footnote w:id="3">
    <w:p w14:paraId="45B1AAA3" w14:textId="77777777" w:rsidR="00D04E73" w:rsidRPr="00006D84" w:rsidRDefault="00D04E73">
      <w:pPr>
        <w:pStyle w:val="FootnoteText"/>
        <w:rPr>
          <w:sz w:val="16"/>
          <w:szCs w:val="16"/>
        </w:rPr>
      </w:pPr>
      <w:r w:rsidRPr="00006D84">
        <w:rPr>
          <w:rStyle w:val="FootnoteReference"/>
          <w:sz w:val="16"/>
          <w:szCs w:val="16"/>
        </w:rPr>
        <w:footnoteRef/>
      </w:r>
      <w:r w:rsidRPr="00006D84">
        <w:rPr>
          <w:sz w:val="16"/>
          <w:szCs w:val="16"/>
        </w:rPr>
        <w:t xml:space="preserve"> See </w:t>
      </w:r>
      <w:hyperlink r:id="rId3" w:history="1">
        <w:r w:rsidRPr="00006D84">
          <w:rPr>
            <w:rStyle w:val="Hyperlink"/>
            <w:color w:val="auto"/>
            <w:sz w:val="16"/>
            <w:szCs w:val="16"/>
            <w:u w:val="none"/>
          </w:rPr>
          <w:t>https://e-voice.org.uk/greatwalthamparish/the-pavilion/</w:t>
        </w:r>
      </w:hyperlink>
      <w:r w:rsidRPr="00006D84">
        <w:rPr>
          <w:sz w:val="16"/>
          <w:szCs w:val="16"/>
        </w:rPr>
        <w:t>.</w:t>
      </w:r>
    </w:p>
  </w:footnote>
  <w:footnote w:id="4">
    <w:p w14:paraId="23FA273A" w14:textId="5BCCAD57" w:rsidR="00006D84" w:rsidRPr="00006D84" w:rsidRDefault="00006D84">
      <w:pPr>
        <w:pStyle w:val="FootnoteText"/>
        <w:rPr>
          <w:sz w:val="16"/>
          <w:szCs w:val="16"/>
        </w:rPr>
      </w:pPr>
      <w:r w:rsidRPr="00006D84">
        <w:rPr>
          <w:rStyle w:val="FootnoteReference"/>
          <w:sz w:val="16"/>
          <w:szCs w:val="16"/>
        </w:rPr>
        <w:footnoteRef/>
      </w:r>
      <w:r w:rsidRPr="00006D84">
        <w:rPr>
          <w:sz w:val="16"/>
          <w:szCs w:val="16"/>
        </w:rPr>
        <w:t xml:space="preserve"> See Asset Register spreadsheet at https://e-voice.org.uk/greatwalthamparish</w:t>
      </w:r>
    </w:p>
  </w:footnote>
  <w:footnote w:id="5">
    <w:p w14:paraId="6F8870F0" w14:textId="1E962ABE" w:rsidR="00006D84" w:rsidRDefault="00006D84">
      <w:pPr>
        <w:pStyle w:val="FootnoteText"/>
      </w:pPr>
      <w:r w:rsidRPr="00006D84">
        <w:rPr>
          <w:rStyle w:val="FootnoteReference"/>
          <w:sz w:val="16"/>
          <w:szCs w:val="16"/>
        </w:rPr>
        <w:footnoteRef/>
      </w:r>
      <w:r w:rsidRPr="00006D84">
        <w:rPr>
          <w:sz w:val="16"/>
          <w:szCs w:val="16"/>
        </w:rPr>
        <w:t xml:space="preserve"> Ibid.</w:t>
      </w:r>
    </w:p>
  </w:footnote>
  <w:footnote w:id="6">
    <w:p w14:paraId="54208F39" w14:textId="3F1CD9F4" w:rsidR="00006D84" w:rsidRPr="00006D84" w:rsidRDefault="00006D84">
      <w:pPr>
        <w:pStyle w:val="FootnoteText"/>
        <w:rPr>
          <w:sz w:val="16"/>
          <w:szCs w:val="16"/>
        </w:rPr>
      </w:pPr>
      <w:r w:rsidRPr="00006D84">
        <w:rPr>
          <w:rStyle w:val="FootnoteReference"/>
          <w:sz w:val="16"/>
          <w:szCs w:val="16"/>
        </w:rPr>
        <w:footnoteRef/>
      </w:r>
      <w:r w:rsidRPr="00006D84">
        <w:rPr>
          <w:sz w:val="16"/>
          <w:szCs w:val="16"/>
        </w:rPr>
        <w:t xml:space="preserve"> Ibid.</w:t>
      </w:r>
    </w:p>
  </w:footnote>
  <w:footnote w:id="7">
    <w:p w14:paraId="4BEBF965" w14:textId="77777777" w:rsidR="00D04E73" w:rsidRPr="0093328C" w:rsidRDefault="00D04E73" w:rsidP="00CA74E9">
      <w:pPr>
        <w:pStyle w:val="FootnoteText"/>
        <w:ind w:left="113" w:hanging="113"/>
        <w:rPr>
          <w:sz w:val="16"/>
          <w:szCs w:val="16"/>
        </w:rPr>
      </w:pPr>
      <w:r w:rsidRPr="00006D84">
        <w:rPr>
          <w:rStyle w:val="FootnoteReference"/>
          <w:sz w:val="16"/>
          <w:szCs w:val="16"/>
        </w:rPr>
        <w:footnoteRef/>
      </w:r>
      <w:r w:rsidRPr="00006D84">
        <w:rPr>
          <w:sz w:val="16"/>
          <w:szCs w:val="16"/>
        </w:rPr>
        <w:t xml:space="preserve"> See </w:t>
      </w:r>
      <w:hyperlink r:id="rId4" w:history="1">
        <w:r w:rsidRPr="00006D84">
          <w:rPr>
            <w:rStyle w:val="Hyperlink"/>
            <w:color w:val="auto"/>
            <w:sz w:val="16"/>
            <w:szCs w:val="16"/>
            <w:u w:val="none"/>
          </w:rPr>
          <w:t>https://e-voice.org.uk/greatwalthamparish/a/42828227-46323499</w:t>
        </w:r>
      </w:hyperlink>
      <w:r w:rsidRPr="00006D84">
        <w:rPr>
          <w:sz w:val="16"/>
          <w:szCs w:val="16"/>
        </w:rPr>
        <w:t xml:space="preserve"> and </w:t>
      </w:r>
      <w:hyperlink r:id="rId5" w:history="1">
        <w:r w:rsidRPr="00006D84">
          <w:rPr>
            <w:rStyle w:val="Hyperlink"/>
            <w:color w:val="auto"/>
            <w:sz w:val="16"/>
            <w:szCs w:val="16"/>
            <w:u w:val="none"/>
          </w:rPr>
          <w:t>https://e-voice.org.uk/greatwalthamparish/a/ 42828227-45868377</w:t>
        </w:r>
      </w:hyperlink>
      <w:r w:rsidRPr="0093328C">
        <w:rPr>
          <w:sz w:val="16"/>
          <w:szCs w:val="16"/>
        </w:rPr>
        <w:t xml:space="preserve">. </w:t>
      </w:r>
    </w:p>
  </w:footnote>
  <w:footnote w:id="8">
    <w:p w14:paraId="6066EBC4" w14:textId="156E8002" w:rsidR="0093328C" w:rsidRPr="005F457D" w:rsidRDefault="0093328C">
      <w:pPr>
        <w:pStyle w:val="FootnoteText"/>
        <w:rPr>
          <w:sz w:val="16"/>
          <w:szCs w:val="16"/>
        </w:rPr>
      </w:pPr>
      <w:r w:rsidRPr="005F457D">
        <w:rPr>
          <w:rStyle w:val="FootnoteReference"/>
          <w:sz w:val="16"/>
          <w:szCs w:val="16"/>
        </w:rPr>
        <w:footnoteRef/>
      </w:r>
      <w:r w:rsidRPr="005F457D">
        <w:rPr>
          <w:sz w:val="16"/>
          <w:szCs w:val="16"/>
        </w:rPr>
        <w:t xml:space="preserve"> At </w:t>
      </w:r>
      <w:r>
        <w:rPr>
          <w:sz w:val="16"/>
          <w:szCs w:val="16"/>
        </w:rPr>
        <w:t>w</w:t>
      </w:r>
      <w:r w:rsidRPr="005F457D">
        <w:rPr>
          <w:sz w:val="16"/>
          <w:szCs w:val="16"/>
        </w:rPr>
        <w:t>hat</w:t>
      </w:r>
      <w:r>
        <w:rPr>
          <w:sz w:val="16"/>
          <w:szCs w:val="16"/>
        </w:rPr>
        <w:t>3w</w:t>
      </w:r>
      <w:r w:rsidRPr="005F457D">
        <w:rPr>
          <w:sz w:val="16"/>
          <w:szCs w:val="16"/>
        </w:rPr>
        <w:t>ords location</w:t>
      </w:r>
      <w:r>
        <w:rPr>
          <w:sz w:val="16"/>
          <w:szCs w:val="16"/>
        </w:rPr>
        <w:t xml:space="preserve">: </w:t>
      </w:r>
      <w:proofErr w:type="spellStart"/>
      <w:r w:rsidRPr="005F457D">
        <w:rPr>
          <w:sz w:val="16"/>
          <w:szCs w:val="16"/>
        </w:rPr>
        <w:t>motoring.vesting.flying</w:t>
      </w:r>
      <w:proofErr w:type="spellEnd"/>
      <w:r>
        <w:rPr>
          <w:sz w:val="16"/>
          <w:szCs w:val="16"/>
        </w:rPr>
        <w:t>.</w:t>
      </w:r>
    </w:p>
  </w:footnote>
  <w:footnote w:id="9">
    <w:p w14:paraId="383F0404" w14:textId="77777777" w:rsidR="00D04E73" w:rsidRPr="00836081" w:rsidRDefault="00D04E73" w:rsidP="00836081">
      <w:pPr>
        <w:pStyle w:val="FootnoteText"/>
        <w:rPr>
          <w:sz w:val="16"/>
          <w:szCs w:val="16"/>
        </w:rPr>
      </w:pPr>
      <w:r w:rsidRPr="0093328C">
        <w:rPr>
          <w:rStyle w:val="FootnoteReference"/>
          <w:sz w:val="16"/>
          <w:szCs w:val="16"/>
        </w:rPr>
        <w:footnoteRef/>
      </w:r>
      <w:r w:rsidRPr="0093328C">
        <w:rPr>
          <w:sz w:val="16"/>
          <w:szCs w:val="16"/>
        </w:rPr>
        <w:t xml:space="preserve"> See https://e-voice.org.uk/greatwalthamparish</w:t>
      </w:r>
      <w:r w:rsidRPr="00836081">
        <w:rPr>
          <w:sz w:val="16"/>
          <w:szCs w:val="16"/>
        </w:rPr>
        <w:t>/copy-of-parish-directory/policy-files/.</w:t>
      </w:r>
    </w:p>
  </w:footnote>
  <w:footnote w:id="10">
    <w:p w14:paraId="6489DAED" w14:textId="77777777" w:rsidR="00D04E73" w:rsidRPr="00836081" w:rsidRDefault="00D04E73">
      <w:pPr>
        <w:pStyle w:val="FootnoteText"/>
        <w:rPr>
          <w:sz w:val="16"/>
          <w:szCs w:val="16"/>
        </w:rPr>
      </w:pPr>
      <w:r w:rsidRPr="00836081">
        <w:rPr>
          <w:rStyle w:val="FootnoteReference"/>
          <w:sz w:val="16"/>
          <w:szCs w:val="16"/>
        </w:rPr>
        <w:footnoteRef/>
      </w:r>
      <w:r w:rsidRPr="00836081">
        <w:rPr>
          <w:sz w:val="16"/>
          <w:szCs w:val="16"/>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87FF" w14:textId="77777777" w:rsidR="00F17285" w:rsidRDefault="00F17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539C" w14:textId="2B5B0961" w:rsidR="00F17285" w:rsidRDefault="00F17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0FCE" w14:textId="77777777" w:rsidR="00F17285" w:rsidRDefault="00F17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E5A9C"/>
    <w:multiLevelType w:val="hybridMultilevel"/>
    <w:tmpl w:val="C88088F8"/>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 w15:restartNumberingAfterBreak="0">
    <w:nsid w:val="241D34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DE7684"/>
    <w:multiLevelType w:val="hybridMultilevel"/>
    <w:tmpl w:val="E490F8F4"/>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3" w15:restartNumberingAfterBreak="0">
    <w:nsid w:val="4DD22E30"/>
    <w:multiLevelType w:val="hybridMultilevel"/>
    <w:tmpl w:val="392C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431594"/>
    <w:multiLevelType w:val="hybridMultilevel"/>
    <w:tmpl w:val="F23A3F2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5BF3373A"/>
    <w:multiLevelType w:val="hybridMultilevel"/>
    <w:tmpl w:val="CE426D2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64376012"/>
    <w:multiLevelType w:val="hybridMultilevel"/>
    <w:tmpl w:val="DBC0D6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34491332">
    <w:abstractNumId w:val="1"/>
  </w:num>
  <w:num w:numId="2" w16cid:durableId="1774011174">
    <w:abstractNumId w:val="5"/>
  </w:num>
  <w:num w:numId="3" w16cid:durableId="1900507670">
    <w:abstractNumId w:val="2"/>
  </w:num>
  <w:num w:numId="4" w16cid:durableId="1858544488">
    <w:abstractNumId w:val="0"/>
  </w:num>
  <w:num w:numId="5" w16cid:durableId="315496367">
    <w:abstractNumId w:val="4"/>
  </w:num>
  <w:num w:numId="6" w16cid:durableId="947127571">
    <w:abstractNumId w:val="6"/>
  </w:num>
  <w:num w:numId="7" w16cid:durableId="1388606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50"/>
    <w:rsid w:val="000065D6"/>
    <w:rsid w:val="00006D84"/>
    <w:rsid w:val="00011421"/>
    <w:rsid w:val="000625E3"/>
    <w:rsid w:val="00077C50"/>
    <w:rsid w:val="00091081"/>
    <w:rsid w:val="0011193F"/>
    <w:rsid w:val="00153784"/>
    <w:rsid w:val="001A5062"/>
    <w:rsid w:val="00204245"/>
    <w:rsid w:val="002241D9"/>
    <w:rsid w:val="0026480B"/>
    <w:rsid w:val="00290516"/>
    <w:rsid w:val="002930C5"/>
    <w:rsid w:val="002A6F9D"/>
    <w:rsid w:val="003371ED"/>
    <w:rsid w:val="00395B53"/>
    <w:rsid w:val="00407321"/>
    <w:rsid w:val="00424E92"/>
    <w:rsid w:val="004654CE"/>
    <w:rsid w:val="00482E09"/>
    <w:rsid w:val="004D20D6"/>
    <w:rsid w:val="00512BBB"/>
    <w:rsid w:val="005376EE"/>
    <w:rsid w:val="00544F16"/>
    <w:rsid w:val="0056778D"/>
    <w:rsid w:val="005C0D02"/>
    <w:rsid w:val="005F457D"/>
    <w:rsid w:val="00645689"/>
    <w:rsid w:val="00652C6B"/>
    <w:rsid w:val="00660A70"/>
    <w:rsid w:val="006B6F92"/>
    <w:rsid w:val="00712800"/>
    <w:rsid w:val="0072774A"/>
    <w:rsid w:val="00733A3E"/>
    <w:rsid w:val="007B315B"/>
    <w:rsid w:val="007C7414"/>
    <w:rsid w:val="007D52C4"/>
    <w:rsid w:val="007E1972"/>
    <w:rsid w:val="00805CE1"/>
    <w:rsid w:val="00836081"/>
    <w:rsid w:val="00863250"/>
    <w:rsid w:val="00892F1C"/>
    <w:rsid w:val="008A4B70"/>
    <w:rsid w:val="008F083D"/>
    <w:rsid w:val="0093328C"/>
    <w:rsid w:val="009353D4"/>
    <w:rsid w:val="00993C75"/>
    <w:rsid w:val="009A321D"/>
    <w:rsid w:val="009B693E"/>
    <w:rsid w:val="009E380A"/>
    <w:rsid w:val="009E7133"/>
    <w:rsid w:val="00A237A4"/>
    <w:rsid w:val="00A24AF4"/>
    <w:rsid w:val="00A85BA8"/>
    <w:rsid w:val="00AF16FF"/>
    <w:rsid w:val="00AF69AE"/>
    <w:rsid w:val="00B234C2"/>
    <w:rsid w:val="00B33B81"/>
    <w:rsid w:val="00B3799C"/>
    <w:rsid w:val="00B446DB"/>
    <w:rsid w:val="00BC04D9"/>
    <w:rsid w:val="00BC0C14"/>
    <w:rsid w:val="00BC5D33"/>
    <w:rsid w:val="00BE2ED7"/>
    <w:rsid w:val="00BF06A8"/>
    <w:rsid w:val="00C4331E"/>
    <w:rsid w:val="00C6769D"/>
    <w:rsid w:val="00C758B4"/>
    <w:rsid w:val="00C90D12"/>
    <w:rsid w:val="00CA74E9"/>
    <w:rsid w:val="00CD179F"/>
    <w:rsid w:val="00D04E73"/>
    <w:rsid w:val="00D05637"/>
    <w:rsid w:val="00D4509E"/>
    <w:rsid w:val="00D528D7"/>
    <w:rsid w:val="00DA2B67"/>
    <w:rsid w:val="00DC122D"/>
    <w:rsid w:val="00DE0CBF"/>
    <w:rsid w:val="00E24D62"/>
    <w:rsid w:val="00E52939"/>
    <w:rsid w:val="00E82D24"/>
    <w:rsid w:val="00ED44B0"/>
    <w:rsid w:val="00ED4E11"/>
    <w:rsid w:val="00F17285"/>
    <w:rsid w:val="00F264B6"/>
    <w:rsid w:val="00F80090"/>
    <w:rsid w:val="00F947CD"/>
    <w:rsid w:val="00FD2FD2"/>
    <w:rsid w:val="00FE0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A69D"/>
  <w15:docId w15:val="{8B0003AB-FFD2-4889-9B46-2746CE7C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8B4"/>
    <w:rPr>
      <w:rFonts w:asciiTheme="minorHAnsi" w:hAnsiTheme="minorHAnsi" w:cstheme="minorBid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C50"/>
    <w:pPr>
      <w:spacing w:after="0" w:line="240" w:lineRule="auto"/>
    </w:pPr>
  </w:style>
  <w:style w:type="paragraph" w:styleId="FootnoteText">
    <w:name w:val="footnote text"/>
    <w:basedOn w:val="Normal"/>
    <w:link w:val="FootnoteTextChar"/>
    <w:uiPriority w:val="99"/>
    <w:semiHidden/>
    <w:unhideWhenUsed/>
    <w:rsid w:val="00077C50"/>
    <w:pPr>
      <w:spacing w:after="0" w:line="240" w:lineRule="auto"/>
    </w:pPr>
    <w:rPr>
      <w:rFonts w:ascii="Arial" w:hAnsi="Arial" w:cs="Arial"/>
      <w:kern w:val="2"/>
      <w:sz w:val="20"/>
      <w:szCs w:val="20"/>
    </w:rPr>
  </w:style>
  <w:style w:type="character" w:customStyle="1" w:styleId="FootnoteTextChar">
    <w:name w:val="Footnote Text Char"/>
    <w:basedOn w:val="DefaultParagraphFont"/>
    <w:link w:val="FootnoteText"/>
    <w:uiPriority w:val="99"/>
    <w:semiHidden/>
    <w:rsid w:val="00077C50"/>
    <w:rPr>
      <w:sz w:val="20"/>
      <w:szCs w:val="20"/>
    </w:rPr>
  </w:style>
  <w:style w:type="character" w:styleId="FootnoteReference">
    <w:name w:val="footnote reference"/>
    <w:basedOn w:val="DefaultParagraphFont"/>
    <w:uiPriority w:val="99"/>
    <w:semiHidden/>
    <w:unhideWhenUsed/>
    <w:rsid w:val="00077C50"/>
    <w:rPr>
      <w:vertAlign w:val="superscript"/>
    </w:rPr>
  </w:style>
  <w:style w:type="character" w:styleId="Hyperlink">
    <w:name w:val="Hyperlink"/>
    <w:basedOn w:val="DefaultParagraphFont"/>
    <w:uiPriority w:val="99"/>
    <w:unhideWhenUsed/>
    <w:rsid w:val="00077C50"/>
    <w:rPr>
      <w:color w:val="0563C1" w:themeColor="hyperlink"/>
      <w:u w:val="single"/>
    </w:rPr>
  </w:style>
  <w:style w:type="character" w:customStyle="1" w:styleId="UnresolvedMention1">
    <w:name w:val="Unresolved Mention1"/>
    <w:basedOn w:val="DefaultParagraphFont"/>
    <w:uiPriority w:val="99"/>
    <w:semiHidden/>
    <w:unhideWhenUsed/>
    <w:rsid w:val="00077C50"/>
    <w:rPr>
      <w:color w:val="605E5C"/>
      <w:shd w:val="clear" w:color="auto" w:fill="E1DFDD"/>
    </w:rPr>
  </w:style>
  <w:style w:type="paragraph" w:styleId="ListParagraph">
    <w:name w:val="List Paragraph"/>
    <w:basedOn w:val="Normal"/>
    <w:uiPriority w:val="34"/>
    <w:qFormat/>
    <w:rsid w:val="000625E3"/>
    <w:pPr>
      <w:ind w:left="720"/>
      <w:contextualSpacing/>
    </w:pPr>
    <w:rPr>
      <w:rFonts w:ascii="Arial" w:hAnsi="Arial" w:cs="Arial"/>
      <w:kern w:val="2"/>
    </w:rPr>
  </w:style>
  <w:style w:type="table" w:styleId="TableGrid">
    <w:name w:val="Table Grid"/>
    <w:basedOn w:val="TableNormal"/>
    <w:rsid w:val="00C758B4"/>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5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8B4"/>
    <w:rPr>
      <w:rFonts w:asciiTheme="minorHAnsi" w:hAnsiTheme="minorHAnsi" w:cstheme="minorBidi"/>
      <w:kern w:val="0"/>
    </w:rPr>
  </w:style>
  <w:style w:type="paragraph" w:styleId="Footer">
    <w:name w:val="footer"/>
    <w:basedOn w:val="Normal"/>
    <w:link w:val="FooterChar"/>
    <w:uiPriority w:val="99"/>
    <w:unhideWhenUsed/>
    <w:rsid w:val="00C75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8B4"/>
    <w:rPr>
      <w:rFonts w:asciiTheme="minorHAnsi" w:hAnsiTheme="minorHAnsi" w:cstheme="minorBidi"/>
      <w:kern w:val="0"/>
    </w:rPr>
  </w:style>
  <w:style w:type="character" w:styleId="CommentReference">
    <w:name w:val="annotation reference"/>
    <w:basedOn w:val="DefaultParagraphFont"/>
    <w:uiPriority w:val="99"/>
    <w:semiHidden/>
    <w:unhideWhenUsed/>
    <w:rsid w:val="00BC0C14"/>
    <w:rPr>
      <w:sz w:val="16"/>
      <w:szCs w:val="16"/>
    </w:rPr>
  </w:style>
  <w:style w:type="paragraph" w:styleId="CommentText">
    <w:name w:val="annotation text"/>
    <w:basedOn w:val="Normal"/>
    <w:link w:val="CommentTextChar"/>
    <w:uiPriority w:val="99"/>
    <w:semiHidden/>
    <w:unhideWhenUsed/>
    <w:rsid w:val="00BC0C14"/>
    <w:pPr>
      <w:spacing w:line="240" w:lineRule="auto"/>
    </w:pPr>
    <w:rPr>
      <w:sz w:val="20"/>
      <w:szCs w:val="20"/>
    </w:rPr>
  </w:style>
  <w:style w:type="character" w:customStyle="1" w:styleId="CommentTextChar">
    <w:name w:val="Comment Text Char"/>
    <w:basedOn w:val="DefaultParagraphFont"/>
    <w:link w:val="CommentText"/>
    <w:uiPriority w:val="99"/>
    <w:semiHidden/>
    <w:rsid w:val="00BC0C14"/>
    <w:rPr>
      <w:rFonts w:asciiTheme="minorHAnsi" w:hAnsiTheme="minorHAnsi" w:cstheme="minorBidi"/>
      <w:kern w:val="0"/>
      <w:sz w:val="20"/>
      <w:szCs w:val="20"/>
    </w:rPr>
  </w:style>
  <w:style w:type="paragraph" w:styleId="CommentSubject">
    <w:name w:val="annotation subject"/>
    <w:basedOn w:val="CommentText"/>
    <w:next w:val="CommentText"/>
    <w:link w:val="CommentSubjectChar"/>
    <w:uiPriority w:val="99"/>
    <w:semiHidden/>
    <w:unhideWhenUsed/>
    <w:rsid w:val="00BC0C14"/>
    <w:rPr>
      <w:b/>
      <w:bCs/>
    </w:rPr>
  </w:style>
  <w:style w:type="character" w:customStyle="1" w:styleId="CommentSubjectChar">
    <w:name w:val="Comment Subject Char"/>
    <w:basedOn w:val="CommentTextChar"/>
    <w:link w:val="CommentSubject"/>
    <w:uiPriority w:val="99"/>
    <w:semiHidden/>
    <w:rsid w:val="00BC0C14"/>
    <w:rPr>
      <w:rFonts w:asciiTheme="minorHAnsi" w:hAnsiTheme="minorHAnsi" w:cstheme="minorBidi"/>
      <w:b/>
      <w:bCs/>
      <w:kern w:val="0"/>
      <w:sz w:val="20"/>
      <w:szCs w:val="20"/>
    </w:rPr>
  </w:style>
  <w:style w:type="paragraph" w:styleId="BalloonText">
    <w:name w:val="Balloon Text"/>
    <w:basedOn w:val="Normal"/>
    <w:link w:val="BalloonTextChar"/>
    <w:uiPriority w:val="99"/>
    <w:semiHidden/>
    <w:unhideWhenUsed/>
    <w:rsid w:val="00BC0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C14"/>
    <w:rPr>
      <w:rFonts w:ascii="Tahoma" w:hAnsi="Tahoma" w:cs="Tahoma"/>
      <w:kern w:val="0"/>
      <w:sz w:val="16"/>
      <w:szCs w:val="16"/>
    </w:rPr>
  </w:style>
  <w:style w:type="paragraph" w:styleId="Revision">
    <w:name w:val="Revision"/>
    <w:hidden/>
    <w:uiPriority w:val="99"/>
    <w:semiHidden/>
    <w:rsid w:val="00FD2FD2"/>
    <w:pPr>
      <w:spacing w:after="0" w:line="240" w:lineRule="auto"/>
    </w:pPr>
    <w:rPr>
      <w:rFonts w:asciiTheme="minorHAnsi" w:hAnsiTheme="minorHAnsi" w:cstheme="minorBid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46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voice.org.uk/greatwalthamparish/the-pavilion/" TargetMode="External"/><Relationship Id="rId2" Type="http://schemas.openxmlformats.org/officeDocument/2006/relationships/hyperlink" Target="https://e-voice.org.uk/greatwalthamparish/a/42828227-46323418" TargetMode="External"/><Relationship Id="rId1" Type="http://schemas.openxmlformats.org/officeDocument/2006/relationships/hyperlink" Target="http://www.citypopulation.de/en/uk/eastofengland/admin/chelmsford/E04003960__great_waltham/" TargetMode="External"/><Relationship Id="rId5" Type="http://schemas.openxmlformats.org/officeDocument/2006/relationships/hyperlink" Target="https://e-voice.org.uk/greatwalthamparish/a/%2042828227-45868377" TargetMode="External"/><Relationship Id="rId4" Type="http://schemas.openxmlformats.org/officeDocument/2006/relationships/hyperlink" Target="https://e-voice.org.uk/greatwalthamparish/a/42828227-46323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E1DBE-1880-4CA6-A5C3-1A17A90A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Gilbert</dc:creator>
  <cp:lastModifiedBy>will adshead-grant</cp:lastModifiedBy>
  <cp:revision>2</cp:revision>
  <dcterms:created xsi:type="dcterms:W3CDTF">2025-01-16T20:26:00Z</dcterms:created>
  <dcterms:modified xsi:type="dcterms:W3CDTF">2025-01-16T20:26:00Z</dcterms:modified>
</cp:coreProperties>
</file>