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823" w:rsidRDefault="00000000">
      <w:pPr>
        <w:spacing w:after="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-9143</wp:posOffset>
                </wp:positionH>
                <wp:positionV relativeFrom="paragraph">
                  <wp:posOffset>-771255</wp:posOffset>
                </wp:positionV>
                <wp:extent cx="6321299" cy="966724"/>
                <wp:effectExtent l="0" t="0" r="0" b="0"/>
                <wp:wrapSquare wrapText="bothSides"/>
                <wp:docPr id="1638" name="Group 1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1299" cy="966724"/>
                          <a:chOff x="0" y="0"/>
                          <a:chExt cx="6321299" cy="96672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358767" y="0"/>
                            <a:ext cx="1951990" cy="748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312154" y="743275"/>
                            <a:ext cx="2253" cy="9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0823" w:rsidRDefault="00000000">
                              <w:r>
                                <w:rPr>
                                  <w:rFonts w:ascii="Arial" w:eastAsia="Arial" w:hAnsi="Arial" w:cs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3" name="Shape 2343"/>
                        <wps:cNvSpPr/>
                        <wps:spPr>
                          <a:xfrm>
                            <a:off x="0" y="939292"/>
                            <a:ext cx="632129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1299" h="27432">
                                <a:moveTo>
                                  <a:pt x="0" y="0"/>
                                </a:moveTo>
                                <a:lnTo>
                                  <a:pt x="6321299" y="0"/>
                                </a:lnTo>
                                <a:lnTo>
                                  <a:pt x="6321299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D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8" style="width:497.74pt;height:76.12pt;position:absolute;mso-position-horizontal-relative:margin;mso-position-horizontal:absolute;margin-left:-0.720001pt;mso-position-vertical-relative:text;margin-top:-60.7288pt;" coordsize="63212,9667">
                <v:shape id="Picture 7" style="position:absolute;width:19519;height:7486;left:43587;top:0;" filled="f">
                  <v:imagedata r:id="rId5"/>
                </v:shape>
                <v:rect id="Rectangle 8" style="position:absolute;width:22;height:90;left:63121;top:7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44" style="position:absolute;width:63212;height:274;left:0;top:9392;" coordsize="6321299,27432" path="m0,0l6321299,0l6321299,27432l0,27432l0,0">
                  <v:stroke weight="0pt" endcap="flat" joinstyle="miter" miterlimit="10" on="false" color="#000000" opacity="0"/>
                  <v:fill on="true" color="#bfbdbf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 </w:t>
      </w:r>
    </w:p>
    <w:p w:rsidR="00BC0823" w:rsidRDefault="00000000">
      <w:pPr>
        <w:spacing w:after="4783"/>
      </w:pPr>
      <w:r>
        <w:rPr>
          <w:rFonts w:ascii="Arial" w:eastAsia="Arial" w:hAnsi="Arial" w:cs="Arial"/>
        </w:rPr>
        <w:t xml:space="preserve"> 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Zurich Insurance Company </w:t>
      </w:r>
    </w:p>
    <w:p w:rsidR="00BC0823" w:rsidRDefault="00000000">
      <w:pPr>
        <w:spacing w:after="3" w:line="249" w:lineRule="auto"/>
        <w:ind w:left="180" w:hanging="118"/>
      </w:pPr>
      <w:r>
        <w:rPr>
          <w:rFonts w:ascii="Arial" w:eastAsia="Arial" w:hAnsi="Arial" w:cs="Arial"/>
          <w:sz w:val="16"/>
        </w:rPr>
        <w:t xml:space="preserve">Ltd. A public limited company incorporated in Switzerland. Registered in the Canton of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Zurich, No. CHE-105.833.114, registered offices at Mythenquai 2, 8002 Zurich.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UK Branch registered in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England and Wales no </w:t>
      </w:r>
    </w:p>
    <w:p w:rsidR="00BC0823" w:rsidRDefault="00000000">
      <w:pPr>
        <w:spacing w:after="3" w:line="249" w:lineRule="auto"/>
        <w:ind w:left="62"/>
      </w:pPr>
      <w:r>
        <w:rPr>
          <w:rFonts w:ascii="Arial" w:eastAsia="Arial" w:hAnsi="Arial" w:cs="Arial"/>
          <w:sz w:val="16"/>
        </w:rPr>
        <w:t xml:space="preserve">BR000105. UK Branch Head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Office: The Zurich Centre,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3000 Parkway, Whiteley,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Fareham, Hampshire PO15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7JZ. </w:t>
      </w:r>
    </w:p>
    <w:p w:rsidR="00BC0823" w:rsidRDefault="00000000">
      <w:pPr>
        <w:spacing w:after="0"/>
        <w:ind w:right="46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Zurich Insurance Company </w:t>
      </w:r>
    </w:p>
    <w:p w:rsidR="00BC0823" w:rsidRDefault="00000000">
      <w:pPr>
        <w:spacing w:after="3" w:line="249" w:lineRule="auto"/>
        <w:ind w:left="62" w:firstLine="622"/>
      </w:pPr>
      <w:r>
        <w:rPr>
          <w:rFonts w:ascii="Arial" w:eastAsia="Arial" w:hAnsi="Arial" w:cs="Arial"/>
          <w:sz w:val="16"/>
        </w:rPr>
        <w:t xml:space="preserve">Ltd is authorised and regulated in Switzerland by the Swiss Financial Market Supervisory Authority FINMA.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Authorised by the Prudential </w:t>
      </w:r>
    </w:p>
    <w:p w:rsidR="00BC0823" w:rsidRDefault="00000000">
      <w:pPr>
        <w:spacing w:after="3" w:line="249" w:lineRule="auto"/>
        <w:ind w:left="62" w:firstLine="26"/>
      </w:pPr>
      <w:r>
        <w:rPr>
          <w:rFonts w:ascii="Arial" w:eastAsia="Arial" w:hAnsi="Arial" w:cs="Arial"/>
          <w:sz w:val="16"/>
        </w:rPr>
        <w:t xml:space="preserve">Regulation Authority. Subject to regulation by the Financial Conduct Authority and limited regulation by the Prudential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Regulation Authority. Details about the extent of our regulation by the Prudential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Regulation Authority are available from us on request. </w:t>
      </w:r>
    </w:p>
    <w:p w:rsidR="00BC0823" w:rsidRDefault="00000000">
      <w:pPr>
        <w:spacing w:after="4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Our firm reference number is 959113.  </w:t>
      </w:r>
    </w:p>
    <w:p w:rsidR="00BC0823" w:rsidRDefault="00000000">
      <w:pPr>
        <w:spacing w:after="0"/>
        <w:ind w:right="46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p w:rsidR="00BC0823" w:rsidRDefault="00000000">
      <w:pPr>
        <w:spacing w:after="81" w:line="248" w:lineRule="auto"/>
        <w:ind w:left="10" w:right="77" w:hanging="10"/>
        <w:jc w:val="right"/>
      </w:pPr>
      <w:r>
        <w:rPr>
          <w:rFonts w:ascii="Arial" w:eastAsia="Arial" w:hAnsi="Arial" w:cs="Arial"/>
          <w:sz w:val="16"/>
        </w:rPr>
        <w:t xml:space="preserve">Communications may be monitored or recorded to improve our service and for security and regulatory purposes. </w:t>
      </w:r>
    </w:p>
    <w:p w:rsidR="00BC082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0823" w:rsidRDefault="00000000">
      <w:pPr>
        <w:pStyle w:val="Heading1"/>
      </w:pPr>
      <w:r>
        <w:t xml:space="preserve">To Whom It May Concern </w:t>
      </w:r>
    </w:p>
    <w:p w:rsidR="00BC0823" w:rsidRDefault="00000000">
      <w:pPr>
        <w:spacing w:after="150"/>
        <w:ind w:left="3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 </w:t>
      </w:r>
    </w:p>
    <w:p w:rsidR="00BC0823" w:rsidRDefault="00000000">
      <w:pPr>
        <w:tabs>
          <w:tab w:val="center" w:pos="3372"/>
        </w:tabs>
        <w:spacing w:after="14" w:line="249" w:lineRule="auto"/>
        <w:ind w:left="-1"/>
      </w:pPr>
      <w:r>
        <w:rPr>
          <w:rFonts w:ascii="Arial" w:eastAsia="Arial" w:hAnsi="Arial" w:cs="Arial"/>
          <w:color w:val="000066"/>
        </w:rPr>
        <w:t xml:space="preserve">Our </w:t>
      </w:r>
      <w:r>
        <w:rPr>
          <w:rFonts w:ascii="Arial" w:eastAsia="Arial" w:hAnsi="Arial" w:cs="Arial"/>
          <w:color w:val="000066"/>
          <w:sz w:val="40"/>
        </w:rPr>
        <w:t xml:space="preserve"> </w:t>
      </w:r>
      <w:r>
        <w:rPr>
          <w:rFonts w:ascii="Arial" w:eastAsia="Arial" w:hAnsi="Arial" w:cs="Arial"/>
          <w:color w:val="000066"/>
        </w:rPr>
        <w:t xml:space="preserve">Reference: </w:t>
      </w:r>
      <w:r>
        <w:rPr>
          <w:rFonts w:ascii="Arial" w:eastAsia="Arial" w:hAnsi="Arial" w:cs="Arial"/>
          <w:color w:val="000066"/>
        </w:rPr>
        <w:tab/>
      </w:r>
      <w:r>
        <w:rPr>
          <w:rFonts w:ascii="Arial" w:eastAsia="Arial" w:hAnsi="Arial" w:cs="Arial"/>
        </w:rPr>
        <w:t xml:space="preserve">P/ 01/ 666136588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 </w:t>
      </w:r>
    </w:p>
    <w:p w:rsidR="00BC0823" w:rsidRDefault="00000000">
      <w:pPr>
        <w:spacing w:after="0"/>
        <w:ind w:left="2501"/>
      </w:pPr>
      <w:r>
        <w:rPr>
          <w:rFonts w:ascii="Arial" w:eastAsia="Arial" w:hAnsi="Arial" w:cs="Arial"/>
        </w:rPr>
        <w:t xml:space="preserve"> </w:t>
      </w:r>
    </w:p>
    <w:p w:rsidR="00BC0823" w:rsidRDefault="00000000">
      <w:pPr>
        <w:tabs>
          <w:tab w:val="center" w:pos="3492"/>
        </w:tabs>
        <w:spacing w:after="14" w:line="249" w:lineRule="auto"/>
        <w:ind w:left="-1"/>
      </w:pPr>
      <w:r>
        <w:rPr>
          <w:rFonts w:ascii="Arial" w:eastAsia="Arial" w:hAnsi="Arial" w:cs="Arial"/>
          <w:color w:val="000066"/>
        </w:rPr>
        <w:t xml:space="preserve">Name of Insured: </w:t>
      </w:r>
      <w:r>
        <w:rPr>
          <w:rFonts w:ascii="Arial" w:eastAsia="Arial" w:hAnsi="Arial" w:cs="Arial"/>
          <w:color w:val="000066"/>
        </w:rPr>
        <w:tab/>
      </w:r>
      <w:r>
        <w:rPr>
          <w:rFonts w:ascii="Arial" w:eastAsia="Arial" w:hAnsi="Arial" w:cs="Arial"/>
        </w:rPr>
        <w:t xml:space="preserve">Ford Village Hall Ltd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 </w:t>
      </w:r>
    </w:p>
    <w:p w:rsidR="00BC0823" w:rsidRDefault="00000000">
      <w:pPr>
        <w:spacing w:after="0"/>
        <w:ind w:left="2501"/>
      </w:pPr>
      <w:r>
        <w:rPr>
          <w:rFonts w:ascii="Arial" w:eastAsia="Arial" w:hAnsi="Arial" w:cs="Arial"/>
        </w:rPr>
        <w:t xml:space="preserve"> </w:t>
      </w:r>
    </w:p>
    <w:p w:rsidR="00BC0823" w:rsidRDefault="00000000">
      <w:pPr>
        <w:spacing w:after="14" w:line="249" w:lineRule="auto"/>
        <w:ind w:left="9" w:right="45" w:hanging="10"/>
      </w:pPr>
      <w:r>
        <w:rPr>
          <w:rFonts w:ascii="Arial" w:eastAsia="Arial" w:hAnsi="Arial" w:cs="Arial"/>
        </w:rPr>
        <w:t xml:space="preserve">This is to confirm that Ford Village Hall Ltd have in force with this Company </w:t>
      </w:r>
    </w:p>
    <w:p w:rsidR="00BC0823" w:rsidRDefault="00000000">
      <w:pPr>
        <w:spacing w:after="14" w:line="249" w:lineRule="auto"/>
        <w:ind w:left="9" w:right="45" w:hanging="10"/>
      </w:pPr>
      <w:r>
        <w:rPr>
          <w:rFonts w:ascii="Arial" w:eastAsia="Arial" w:hAnsi="Arial" w:cs="Arial"/>
        </w:rPr>
        <w:t xml:space="preserve">until the policy expiry on 14 March 2025 insurance incorporating the </w:t>
      </w:r>
    </w:p>
    <w:p w:rsidR="00BC0823" w:rsidRDefault="00000000">
      <w:pPr>
        <w:spacing w:after="175" w:line="216" w:lineRule="auto"/>
        <w:ind w:left="14"/>
        <w:jc w:val="right"/>
      </w:pPr>
      <w:r>
        <w:rPr>
          <w:rFonts w:ascii="Arial" w:eastAsia="Arial" w:hAnsi="Arial" w:cs="Arial"/>
        </w:rPr>
        <w:t xml:space="preserve"> following essential features: </w:t>
      </w:r>
    </w:p>
    <w:p w:rsidR="00BC0823" w:rsidRDefault="00000000">
      <w:pPr>
        <w:spacing w:after="0"/>
        <w:ind w:left="14"/>
        <w:jc w:val="both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823" w:rsidRDefault="00000000">
      <w:pPr>
        <w:tabs>
          <w:tab w:val="center" w:pos="3347"/>
          <w:tab w:val="center" w:pos="7514"/>
        </w:tabs>
        <w:spacing w:after="106"/>
        <w:ind w:left="-1"/>
      </w:pPr>
      <w:r>
        <w:rPr>
          <w:rFonts w:ascii="Arial" w:eastAsia="Arial" w:hAnsi="Arial" w:cs="Arial"/>
          <w:color w:val="000066"/>
        </w:rPr>
        <w:t xml:space="preserve">Policy Number: </w:t>
      </w:r>
      <w:r>
        <w:rPr>
          <w:rFonts w:ascii="Arial" w:eastAsia="Arial" w:hAnsi="Arial" w:cs="Arial"/>
          <w:color w:val="000066"/>
        </w:rPr>
        <w:tab/>
      </w:r>
      <w:r>
        <w:rPr>
          <w:rFonts w:ascii="Arial" w:eastAsia="Arial" w:hAnsi="Arial" w:cs="Arial"/>
        </w:rPr>
        <w:t xml:space="preserve">XAO1220756833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823" w:rsidRDefault="00000000">
      <w:pPr>
        <w:spacing w:after="0"/>
        <w:ind w:left="14"/>
        <w:jc w:val="both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823" w:rsidRDefault="00000000">
      <w:pPr>
        <w:tabs>
          <w:tab w:val="center" w:pos="3236"/>
          <w:tab w:val="center" w:pos="7514"/>
        </w:tabs>
        <w:spacing w:after="116" w:line="249" w:lineRule="auto"/>
        <w:ind w:left="-1"/>
      </w:pPr>
      <w:r>
        <w:rPr>
          <w:rFonts w:ascii="Arial" w:eastAsia="Arial" w:hAnsi="Arial" w:cs="Arial"/>
          <w:color w:val="000066"/>
        </w:rPr>
        <w:t xml:space="preserve">Renewal Date: </w:t>
      </w:r>
      <w:r>
        <w:rPr>
          <w:rFonts w:ascii="Arial" w:eastAsia="Arial" w:hAnsi="Arial" w:cs="Arial"/>
          <w:color w:val="000066"/>
        </w:rPr>
        <w:tab/>
      </w:r>
      <w:r>
        <w:rPr>
          <w:rFonts w:ascii="Arial" w:eastAsia="Arial" w:hAnsi="Arial" w:cs="Arial"/>
        </w:rPr>
        <w:t xml:space="preserve">15 March 2025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823" w:rsidRDefault="00000000">
      <w:pPr>
        <w:spacing w:after="0"/>
        <w:ind w:left="14"/>
        <w:jc w:val="both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823" w:rsidRDefault="00000000">
      <w:pPr>
        <w:tabs>
          <w:tab w:val="center" w:pos="7514"/>
        </w:tabs>
        <w:spacing w:after="7"/>
        <w:ind w:left="-1"/>
      </w:pPr>
      <w:r>
        <w:rPr>
          <w:rFonts w:ascii="Arial" w:eastAsia="Arial" w:hAnsi="Arial" w:cs="Arial"/>
          <w:color w:val="000066"/>
        </w:rPr>
        <w:t xml:space="preserve">Limits of Indemnity: </w:t>
      </w:r>
      <w:r>
        <w:rPr>
          <w:rFonts w:ascii="Arial" w:eastAsia="Arial" w:hAnsi="Arial" w:cs="Arial"/>
          <w:color w:val="000066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823" w:rsidRDefault="00000000">
      <w:pPr>
        <w:tabs>
          <w:tab w:val="center" w:pos="1118"/>
          <w:tab w:val="center" w:pos="3804"/>
          <w:tab w:val="center" w:pos="7514"/>
        </w:tabs>
        <w:spacing w:after="14" w:line="249" w:lineRule="auto"/>
        <w:ind w:left="-1"/>
      </w:pPr>
      <w:r>
        <w:rPr>
          <w:rFonts w:ascii="Arial" w:eastAsia="Arial" w:hAnsi="Arial" w:cs="Arial"/>
          <w:color w:val="000066"/>
        </w:rPr>
        <w:t xml:space="preserve"> </w:t>
      </w:r>
      <w:r>
        <w:rPr>
          <w:rFonts w:ascii="Arial" w:eastAsia="Arial" w:hAnsi="Arial" w:cs="Arial"/>
          <w:color w:val="000066"/>
        </w:rPr>
        <w:tab/>
      </w:r>
      <w:r>
        <w:rPr>
          <w:rFonts w:ascii="Arial" w:eastAsia="Arial" w:hAnsi="Arial" w:cs="Arial"/>
        </w:rPr>
        <w:t xml:space="preserve">Public Liability: </w:t>
      </w:r>
      <w:r>
        <w:rPr>
          <w:rFonts w:ascii="Arial" w:eastAsia="Arial" w:hAnsi="Arial" w:cs="Arial"/>
        </w:rPr>
        <w:tab/>
        <w:t xml:space="preserve">£5,000,000  any one event 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823" w:rsidRDefault="00000000">
      <w:pPr>
        <w:spacing w:after="14" w:line="249" w:lineRule="auto"/>
        <w:ind w:left="2511" w:right="45" w:hanging="10"/>
      </w:pPr>
      <w:r>
        <w:rPr>
          <w:rFonts w:ascii="Arial" w:eastAsia="Arial" w:hAnsi="Arial" w:cs="Arial"/>
        </w:rPr>
        <w:t xml:space="preserve">£5,000,000  for all claims in the aggregate during </w:t>
      </w:r>
    </w:p>
    <w:p w:rsidR="00BC0823" w:rsidRDefault="00000000">
      <w:pPr>
        <w:tabs>
          <w:tab w:val="center" w:pos="1252"/>
          <w:tab w:val="center" w:pos="3860"/>
          <w:tab w:val="center" w:pos="7514"/>
        </w:tabs>
        <w:spacing w:after="14" w:line="249" w:lineRule="auto"/>
        <w:ind w:left="-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Products Liability: </w:t>
      </w:r>
      <w:r>
        <w:rPr>
          <w:rFonts w:ascii="Arial" w:eastAsia="Arial" w:hAnsi="Arial" w:cs="Arial"/>
        </w:rPr>
        <w:tab/>
        <w:t xml:space="preserve">any one period of insurance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BC0823" w:rsidRDefault="00000000">
      <w:pPr>
        <w:tabs>
          <w:tab w:val="center" w:pos="1240"/>
          <w:tab w:val="center" w:pos="3682"/>
          <w:tab w:val="center" w:pos="7514"/>
        </w:tabs>
        <w:spacing w:after="14" w:line="249" w:lineRule="auto"/>
      </w:pPr>
      <w:r>
        <w:tab/>
      </w:r>
      <w:r>
        <w:rPr>
          <w:rFonts w:ascii="Arial" w:eastAsia="Arial" w:hAnsi="Arial" w:cs="Arial"/>
        </w:rPr>
        <w:t xml:space="preserve">Pollution Liability: </w:t>
      </w:r>
      <w:r>
        <w:rPr>
          <w:rFonts w:ascii="Arial" w:eastAsia="Arial" w:hAnsi="Arial" w:cs="Arial"/>
        </w:rPr>
        <w:tab/>
        <w:t xml:space="preserve">As per Products Liability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</w:t>
      </w:r>
    </w:p>
    <w:p w:rsidR="00BC0823" w:rsidRDefault="00000000">
      <w:pPr>
        <w:tabs>
          <w:tab w:val="center" w:pos="998"/>
          <w:tab w:val="center" w:pos="3713"/>
        </w:tabs>
        <w:spacing w:after="14" w:line="249" w:lineRule="auto"/>
      </w:pPr>
      <w:r>
        <w:tab/>
      </w:r>
      <w:r>
        <w:rPr>
          <w:rFonts w:ascii="Arial" w:eastAsia="Arial" w:hAnsi="Arial" w:cs="Arial"/>
        </w:rPr>
        <w:t xml:space="preserve">Professional </w:t>
      </w:r>
      <w:r>
        <w:rPr>
          <w:rFonts w:ascii="Arial" w:eastAsia="Arial" w:hAnsi="Arial" w:cs="Arial"/>
        </w:rPr>
        <w:tab/>
        <w:t xml:space="preserve">£100,000  any one event </w:t>
      </w:r>
    </w:p>
    <w:p w:rsidR="00BC0823" w:rsidRDefault="00000000">
      <w:pPr>
        <w:spacing w:after="14" w:line="249" w:lineRule="auto"/>
        <w:ind w:left="401" w:right="45" w:hanging="10"/>
      </w:pPr>
      <w:r>
        <w:rPr>
          <w:rFonts w:ascii="Arial" w:eastAsia="Arial" w:hAnsi="Arial" w:cs="Arial"/>
        </w:rPr>
        <w:t xml:space="preserve">Services Extension: Note: Cover for Financial Loss, and Third Party </w:t>
      </w:r>
    </w:p>
    <w:p w:rsidR="00BC0823" w:rsidRDefault="00000000">
      <w:pPr>
        <w:spacing w:after="14" w:line="249" w:lineRule="auto"/>
        <w:ind w:left="2511" w:right="45" w:hanging="10"/>
      </w:pPr>
      <w:r>
        <w:rPr>
          <w:rFonts w:ascii="Arial" w:eastAsia="Arial" w:hAnsi="Arial" w:cs="Arial"/>
        </w:rPr>
        <w:t xml:space="preserve">Property Damage or Bodily Injury is provided </w:t>
      </w:r>
    </w:p>
    <w:p w:rsidR="00BC0823" w:rsidRDefault="00000000">
      <w:pPr>
        <w:tabs>
          <w:tab w:val="center" w:pos="4867"/>
          <w:tab w:val="center" w:pos="7514"/>
        </w:tabs>
        <w:spacing w:after="14" w:line="249" w:lineRule="auto"/>
        <w:ind w:left="-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where arising from advice or services carried out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C0823" w:rsidRDefault="00000000">
      <w:pPr>
        <w:spacing w:after="146" w:line="249" w:lineRule="auto"/>
        <w:ind w:left="2511" w:right="45" w:hanging="10"/>
      </w:pPr>
      <w:r>
        <w:rPr>
          <w:rFonts w:ascii="Arial" w:eastAsia="Arial" w:hAnsi="Arial" w:cs="Arial"/>
        </w:rPr>
        <w:t xml:space="preserve">by the Insured in the furtherance of its purpose as a registered charity or not-for-profit organisation.  </w:t>
      </w:r>
    </w:p>
    <w:p w:rsidR="00BC0823" w:rsidRDefault="00000000">
      <w:pPr>
        <w:spacing w:after="0"/>
        <w:ind w:left="3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</w:t>
      </w:r>
    </w:p>
    <w:p w:rsidR="00BC0823" w:rsidRDefault="00000000">
      <w:pPr>
        <w:spacing w:after="7"/>
        <w:ind w:left="9" w:hanging="10"/>
      </w:pPr>
      <w:r>
        <w:rPr>
          <w:rFonts w:ascii="Arial" w:eastAsia="Arial" w:hAnsi="Arial" w:cs="Arial"/>
          <w:color w:val="000066"/>
        </w:rPr>
        <w:t xml:space="preserve">Excess: </w:t>
      </w:r>
    </w:p>
    <w:p w:rsidR="00BC0823" w:rsidRDefault="00000000">
      <w:pPr>
        <w:tabs>
          <w:tab w:val="center" w:pos="1118"/>
          <w:tab w:val="center" w:pos="4620"/>
        </w:tabs>
        <w:spacing w:after="14" w:line="249" w:lineRule="auto"/>
      </w:pPr>
      <w:r>
        <w:tab/>
      </w:r>
      <w:r>
        <w:rPr>
          <w:rFonts w:ascii="Arial" w:eastAsia="Arial" w:hAnsi="Arial" w:cs="Arial"/>
        </w:rPr>
        <w:t xml:space="preserve">Public Liability: </w:t>
      </w:r>
      <w:r>
        <w:rPr>
          <w:rFonts w:ascii="Arial" w:eastAsia="Arial" w:hAnsi="Arial" w:cs="Arial"/>
        </w:rPr>
        <w:tab/>
        <w:t xml:space="preserve">Nil any one claim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  <w:color w:val="000066"/>
        </w:rPr>
        <w:t xml:space="preserve"> </w:t>
      </w:r>
    </w:p>
    <w:p w:rsidR="00BC0823" w:rsidRDefault="00000000">
      <w:pPr>
        <w:tabs>
          <w:tab w:val="center" w:pos="1252"/>
          <w:tab w:val="center" w:pos="4620"/>
        </w:tabs>
        <w:spacing w:after="14" w:line="249" w:lineRule="auto"/>
      </w:pPr>
      <w:r>
        <w:tab/>
      </w:r>
      <w:r>
        <w:rPr>
          <w:rFonts w:ascii="Arial" w:eastAsia="Arial" w:hAnsi="Arial" w:cs="Arial"/>
        </w:rPr>
        <w:t xml:space="preserve">Products Liability: </w:t>
      </w:r>
      <w:r>
        <w:rPr>
          <w:rFonts w:ascii="Arial" w:eastAsia="Arial" w:hAnsi="Arial" w:cs="Arial"/>
        </w:rPr>
        <w:tab/>
        <w:t xml:space="preserve">Nil any one claim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</w:t>
      </w:r>
    </w:p>
    <w:p w:rsidR="00BC0823" w:rsidRDefault="00000000">
      <w:pPr>
        <w:tabs>
          <w:tab w:val="center" w:pos="1240"/>
          <w:tab w:val="center" w:pos="4620"/>
        </w:tabs>
        <w:spacing w:after="14" w:line="249" w:lineRule="auto"/>
      </w:pPr>
      <w:r>
        <w:tab/>
      </w:r>
      <w:r>
        <w:rPr>
          <w:rFonts w:ascii="Arial" w:eastAsia="Arial" w:hAnsi="Arial" w:cs="Arial"/>
        </w:rPr>
        <w:t xml:space="preserve">Pollution Liability: </w:t>
      </w:r>
      <w:r>
        <w:rPr>
          <w:rFonts w:ascii="Arial" w:eastAsia="Arial" w:hAnsi="Arial" w:cs="Arial"/>
        </w:rPr>
        <w:tab/>
        <w:t xml:space="preserve">Nil any one claim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</w:t>
      </w:r>
    </w:p>
    <w:p w:rsidR="00BC0823" w:rsidRDefault="00000000">
      <w:pPr>
        <w:spacing w:after="14" w:line="249" w:lineRule="auto"/>
        <w:ind w:left="401" w:right="45" w:hanging="10"/>
      </w:pPr>
      <w:r>
        <w:rPr>
          <w:rFonts w:ascii="Arial" w:eastAsia="Arial" w:hAnsi="Arial" w:cs="Arial"/>
        </w:rPr>
        <w:t xml:space="preserve">Professional Services Extension: Nil any one claim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</w:rPr>
        <w:lastRenderedPageBreak/>
        <w:t xml:space="preserve">  </w:t>
      </w:r>
    </w:p>
    <w:p w:rsidR="00BC0823" w:rsidRDefault="00000000">
      <w:pPr>
        <w:spacing w:after="0"/>
        <w:ind w:left="2501"/>
      </w:pPr>
      <w:r>
        <w:rPr>
          <w:rFonts w:ascii="Arial" w:eastAsia="Arial" w:hAnsi="Arial" w:cs="Arial"/>
        </w:rPr>
        <w:t xml:space="preserve"> </w:t>
      </w:r>
    </w:p>
    <w:p w:rsidR="00BC0823" w:rsidRDefault="00000000">
      <w:pPr>
        <w:spacing w:after="7"/>
        <w:ind w:left="9" w:hanging="10"/>
      </w:pPr>
      <w:r>
        <w:rPr>
          <w:rFonts w:ascii="Arial" w:eastAsia="Arial" w:hAnsi="Arial" w:cs="Arial"/>
          <w:color w:val="000066"/>
        </w:rPr>
        <w:t xml:space="preserve">Indemnity to Principals: </w:t>
      </w:r>
    </w:p>
    <w:p w:rsidR="00BC0823" w:rsidRDefault="00000000">
      <w:pPr>
        <w:spacing w:after="14" w:line="249" w:lineRule="auto"/>
        <w:ind w:left="9" w:right="45" w:hanging="10"/>
      </w:pPr>
      <w:r>
        <w:rPr>
          <w:rFonts w:ascii="Arial" w:eastAsia="Arial" w:hAnsi="Arial" w:cs="Arial"/>
        </w:rPr>
        <w:t xml:space="preserve">Covers include a standard Indemnity to Principals Clause in respect of contractual obligations.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 </w:t>
      </w:r>
    </w:p>
    <w:p w:rsidR="00BC0823" w:rsidRDefault="00000000">
      <w:pPr>
        <w:spacing w:after="0"/>
        <w:ind w:left="2501"/>
      </w:pPr>
      <w:r>
        <w:rPr>
          <w:rFonts w:ascii="Arial" w:eastAsia="Arial" w:hAnsi="Arial" w:cs="Arial"/>
        </w:rPr>
        <w:t xml:space="preserve"> </w:t>
      </w:r>
    </w:p>
    <w:p w:rsidR="00BC0823" w:rsidRDefault="00000000">
      <w:pPr>
        <w:spacing w:after="7"/>
        <w:ind w:left="9" w:hanging="10"/>
      </w:pPr>
      <w:r>
        <w:rPr>
          <w:rFonts w:ascii="Arial" w:eastAsia="Arial" w:hAnsi="Arial" w:cs="Arial"/>
          <w:color w:val="000066"/>
        </w:rPr>
        <w:t xml:space="preserve">Full Policy: </w:t>
      </w:r>
    </w:p>
    <w:p w:rsidR="00BC0823" w:rsidRDefault="00000000">
      <w:pPr>
        <w:spacing w:after="14" w:line="249" w:lineRule="auto"/>
        <w:ind w:left="9" w:right="45" w:hanging="10"/>
      </w:pPr>
      <w:r>
        <w:rPr>
          <w:rFonts w:ascii="Arial" w:eastAsia="Arial" w:hAnsi="Arial" w:cs="Arial"/>
        </w:rPr>
        <w:t xml:space="preserve">The policy documents should be referred to for details of full cover. </w:t>
      </w:r>
    </w:p>
    <w:p w:rsidR="00BC0823" w:rsidRDefault="00000000">
      <w:pPr>
        <w:spacing w:after="0"/>
        <w:ind w:left="14"/>
      </w:pPr>
      <w:r>
        <w:rPr>
          <w:rFonts w:ascii="Arial" w:eastAsia="Arial" w:hAnsi="Arial" w:cs="Arial"/>
        </w:rPr>
        <w:t xml:space="preserve">  </w:t>
      </w:r>
    </w:p>
    <w:p w:rsidR="00BC0823" w:rsidRDefault="00000000">
      <w:pPr>
        <w:spacing w:after="0"/>
        <w:ind w:left="2501"/>
      </w:pPr>
      <w:r>
        <w:rPr>
          <w:rFonts w:ascii="Arial" w:eastAsia="Arial" w:hAnsi="Arial" w:cs="Arial"/>
        </w:rPr>
        <w:t xml:space="preserve"> </w:t>
      </w:r>
    </w:p>
    <w:p w:rsidR="00BC0823" w:rsidRDefault="00000000">
      <w:pPr>
        <w:spacing w:after="14" w:line="249" w:lineRule="auto"/>
        <w:ind w:left="9" w:right="45" w:hanging="10"/>
      </w:pPr>
      <w:r>
        <w:rPr>
          <w:rFonts w:ascii="Arial" w:eastAsia="Arial" w:hAnsi="Arial" w:cs="Arial"/>
        </w:rPr>
        <w:t xml:space="preserve">Yours sincerely </w:t>
      </w:r>
    </w:p>
    <w:p w:rsidR="00BC0823" w:rsidRDefault="00000000">
      <w:pPr>
        <w:spacing w:after="14" w:line="249" w:lineRule="auto"/>
        <w:ind w:left="9" w:right="3865" w:hanging="10"/>
      </w:pPr>
      <w:r>
        <w:rPr>
          <w:rFonts w:ascii="Arial" w:eastAsia="Arial" w:hAnsi="Arial" w:cs="Arial"/>
        </w:rPr>
        <w:t xml:space="preserve">The Zurich Management Team Zurich Insurance Company Ltd </w:t>
      </w:r>
    </w:p>
    <w:p w:rsidR="00BC0823" w:rsidRDefault="00000000">
      <w:pPr>
        <w:spacing w:after="0"/>
      </w:pPr>
      <w:r>
        <w:rPr>
          <w:rFonts w:ascii="Arial" w:eastAsia="Arial" w:hAnsi="Arial" w:cs="Arial"/>
          <w:sz w:val="2"/>
        </w:rPr>
        <w:t xml:space="preserve"> </w:t>
      </w:r>
    </w:p>
    <w:p w:rsidR="00BC0823" w:rsidRDefault="00BC0823">
      <w:pPr>
        <w:sectPr w:rsidR="00BC0823" w:rsidSect="00003EF6">
          <w:pgSz w:w="11906" w:h="16841"/>
          <w:pgMar w:top="1440" w:right="949" w:bottom="1440" w:left="991" w:header="720" w:footer="720" w:gutter="0"/>
          <w:cols w:num="2" w:space="720" w:equalWidth="0">
            <w:col w:w="2248" w:space="155"/>
            <w:col w:w="7563"/>
          </w:cols>
        </w:sectPr>
      </w:pPr>
    </w:p>
    <w:p w:rsidR="00BC0823" w:rsidRDefault="00000000">
      <w:pPr>
        <w:spacing w:after="57"/>
        <w:ind w:left="-9088"/>
      </w:pPr>
      <w:r>
        <w:rPr>
          <w:noProof/>
        </w:rPr>
        <mc:AlternateContent>
          <mc:Choice Requires="wpg">
            <w:drawing>
              <wp:inline distT="0" distB="0" distL="0" distR="0">
                <wp:extent cx="6321299" cy="27432"/>
                <wp:effectExtent l="0" t="0" r="0" b="0"/>
                <wp:docPr id="1639" name="Group 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1299" cy="27432"/>
                          <a:chOff x="0" y="0"/>
                          <a:chExt cx="6321299" cy="27432"/>
                        </a:xfrm>
                      </wpg:grpSpPr>
                      <wps:wsp>
                        <wps:cNvPr id="2345" name="Shape 2345"/>
                        <wps:cNvSpPr/>
                        <wps:spPr>
                          <a:xfrm>
                            <a:off x="0" y="0"/>
                            <a:ext cx="632129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1299" h="27432">
                                <a:moveTo>
                                  <a:pt x="0" y="0"/>
                                </a:moveTo>
                                <a:lnTo>
                                  <a:pt x="6321299" y="0"/>
                                </a:lnTo>
                                <a:lnTo>
                                  <a:pt x="6321299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D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9" style="width:497.74pt;height:2.16003pt;mso-position-horizontal-relative:char;mso-position-vertical-relative:line" coordsize="63212,274">
                <v:shape id="Shape 2346" style="position:absolute;width:63212;height:274;left:0;top:0;" coordsize="6321299,27432" path="m0,0l6321299,0l6321299,27432l0,27432l0,0">
                  <v:stroke weight="0pt" endcap="flat" joinstyle="miter" miterlimit="10" on="false" color="#000000" opacity="0"/>
                  <v:fill on="true" color="#bfbdbf"/>
                </v:shape>
              </v:group>
            </w:pict>
          </mc:Fallback>
        </mc:AlternateContent>
      </w:r>
    </w:p>
    <w:p w:rsidR="00BC0823" w:rsidRDefault="00000000">
      <w:pPr>
        <w:spacing w:after="0"/>
        <w:jc w:val="right"/>
      </w:pPr>
      <w:r>
        <w:rPr>
          <w:sz w:val="19"/>
        </w:rPr>
        <w:t xml:space="preserve"> </w:t>
      </w:r>
    </w:p>
    <w:p w:rsidR="00BC0823" w:rsidRDefault="00000000">
      <w:pPr>
        <w:spacing w:after="0"/>
      </w:pPr>
      <w:r>
        <w:rPr>
          <w:sz w:val="19"/>
        </w:rPr>
        <w:t xml:space="preserve">Page </w:t>
      </w:r>
      <w:r>
        <w:rPr>
          <w:b/>
          <w:sz w:val="19"/>
        </w:rPr>
        <w:t xml:space="preserve">1 </w:t>
      </w:r>
      <w:r>
        <w:rPr>
          <w:sz w:val="19"/>
        </w:rPr>
        <w:t xml:space="preserve">of 1 </w:t>
      </w:r>
    </w:p>
    <w:sectPr w:rsidR="00BC0823">
      <w:type w:val="continuous"/>
      <w:pgSz w:w="11906" w:h="16841"/>
      <w:pgMar w:top="1440" w:right="946" w:bottom="580" w:left="100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23"/>
    <w:rsid w:val="00003EF6"/>
    <w:rsid w:val="008A7904"/>
    <w:rsid w:val="00B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8BAE7-DC93-4E7C-9A33-5D5511DD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color w:val="000066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66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Walker</dc:creator>
  <cp:keywords/>
  <cp:lastModifiedBy>Steve Walker</cp:lastModifiedBy>
  <cp:revision>2</cp:revision>
  <dcterms:created xsi:type="dcterms:W3CDTF">2024-03-26T18:36:00Z</dcterms:created>
  <dcterms:modified xsi:type="dcterms:W3CDTF">2024-03-26T18:36:00Z</dcterms:modified>
</cp:coreProperties>
</file>