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7576" w14:textId="77777777" w:rsidR="008E0ADB" w:rsidRDefault="008E0ADB" w:rsidP="004A2031">
      <w:pPr>
        <w:rPr>
          <w:rFonts w:ascii="Arial" w:hAnsi="Arial" w:cs="Arial"/>
          <w:b/>
          <w:bCs/>
        </w:rPr>
      </w:pPr>
      <w:r>
        <w:rPr>
          <w:rFonts w:ascii="Arial" w:hAnsi="Arial" w:cs="Arial"/>
          <w:b/>
          <w:bCs/>
        </w:rPr>
        <w:t>From Building Safety Regulator April 2026</w:t>
      </w:r>
    </w:p>
    <w:p w14:paraId="7E63D3E9" w14:textId="77777777" w:rsidR="008E0ADB" w:rsidRDefault="008E0ADB" w:rsidP="004A2031">
      <w:pPr>
        <w:rPr>
          <w:rFonts w:ascii="Arial" w:hAnsi="Arial" w:cs="Arial"/>
          <w:b/>
          <w:bCs/>
        </w:rPr>
      </w:pPr>
    </w:p>
    <w:p w14:paraId="71A3EBC3" w14:textId="296C1007" w:rsidR="004A2031" w:rsidRDefault="004A2031" w:rsidP="004A2031">
      <w:r>
        <w:rPr>
          <w:rFonts w:ascii="Arial" w:hAnsi="Arial" w:cs="Arial"/>
          <w:b/>
          <w:bCs/>
        </w:rPr>
        <w:t>Key reasons that cause delay or rejection</w:t>
      </w:r>
      <w:r w:rsidR="008E0ADB">
        <w:rPr>
          <w:rFonts w:ascii="Arial" w:hAnsi="Arial" w:cs="Arial"/>
          <w:b/>
          <w:bCs/>
        </w:rPr>
        <w:t xml:space="preserve"> </w:t>
      </w:r>
      <w:r w:rsidR="008E0ADB" w:rsidRPr="008E0ADB">
        <w:rPr>
          <w:rFonts w:ascii="Arial" w:hAnsi="Arial" w:cs="Arial"/>
          <w:b/>
          <w:bCs/>
        </w:rPr>
        <w:t>o</w:t>
      </w:r>
      <w:r w:rsidR="008E0ADB">
        <w:rPr>
          <w:rFonts w:ascii="Arial" w:hAnsi="Arial" w:cs="Arial"/>
          <w:b/>
          <w:bCs/>
        </w:rPr>
        <w:t>n</w:t>
      </w:r>
      <w:r w:rsidR="008E0ADB" w:rsidRPr="008E0ADB">
        <w:rPr>
          <w:rFonts w:ascii="Arial" w:hAnsi="Arial" w:cs="Arial"/>
          <w:b/>
          <w:bCs/>
        </w:rPr>
        <w:t xml:space="preserve"> remediation of combustible cladding on existing HRBs</w:t>
      </w:r>
    </w:p>
    <w:p w14:paraId="38988409" w14:textId="77777777" w:rsidR="004A2031" w:rsidRDefault="004A2031" w:rsidP="004A2031">
      <w:r>
        <w:rPr>
          <w:rFonts w:ascii="Arial" w:hAnsi="Arial" w:cs="Arial"/>
          <w:b/>
          <w:bCs/>
          <w:sz w:val="22"/>
          <w:szCs w:val="22"/>
        </w:rPr>
        <w:t> </w:t>
      </w:r>
    </w:p>
    <w:p w14:paraId="4E0E3233" w14:textId="77777777" w:rsidR="004A2031" w:rsidRDefault="004A2031" w:rsidP="004A2031">
      <w:pPr>
        <w:numPr>
          <w:ilvl w:val="0"/>
          <w:numId w:val="1"/>
        </w:numPr>
        <w:ind w:left="360"/>
      </w:pPr>
      <w:r>
        <w:rPr>
          <w:rFonts w:ascii="Arial" w:hAnsi="Arial" w:cs="Arial"/>
          <w:b/>
          <w:bCs/>
          <w:sz w:val="22"/>
          <w:szCs w:val="22"/>
        </w:rPr>
        <w:t>Incomplete design information</w:t>
      </w:r>
    </w:p>
    <w:p w14:paraId="11A89BB5" w14:textId="77777777" w:rsidR="004A2031" w:rsidRDefault="004A2031" w:rsidP="004A2031">
      <w:pPr>
        <w:ind w:left="360"/>
      </w:pPr>
      <w:r>
        <w:rPr>
          <w:rFonts w:ascii="Arial" w:hAnsi="Arial" w:cs="Arial"/>
          <w:b/>
          <w:bCs/>
          <w:sz w:val="22"/>
          <w:szCs w:val="22"/>
        </w:rPr>
        <w:t> </w:t>
      </w:r>
    </w:p>
    <w:p w14:paraId="0C6A25AE" w14:textId="77777777" w:rsidR="004A2031" w:rsidRDefault="004A2031" w:rsidP="004A2031">
      <w:r>
        <w:rPr>
          <w:rFonts w:ascii="Arial" w:hAnsi="Arial" w:cs="Arial"/>
          <w:sz w:val="22"/>
          <w:szCs w:val="22"/>
        </w:rPr>
        <w:t>Before BSR can proceed with decision-making, we need to be assured of the design’s maturity. Applications should include finalised, confirmed designs, systems and interfaces.</w:t>
      </w:r>
    </w:p>
    <w:p w14:paraId="5F343D28" w14:textId="77777777" w:rsidR="004A2031" w:rsidRDefault="004A2031" w:rsidP="004A2031">
      <w:r>
        <w:rPr>
          <w:rFonts w:ascii="Arial" w:hAnsi="Arial" w:cs="Arial"/>
          <w:sz w:val="22"/>
          <w:szCs w:val="22"/>
        </w:rPr>
        <w:t> </w:t>
      </w:r>
    </w:p>
    <w:p w14:paraId="721B032A" w14:textId="77777777" w:rsidR="004A2031" w:rsidRDefault="004A2031" w:rsidP="004A2031">
      <w:r>
        <w:rPr>
          <w:rFonts w:ascii="Arial" w:hAnsi="Arial" w:cs="Arial"/>
          <w:sz w:val="22"/>
          <w:szCs w:val="22"/>
        </w:rPr>
        <w:t xml:space="preserve">The procurement parameters of materials and products should be set out along with assurance that products are available on the market that meet those parameters. Given the timescales associated with remediation work it is unlikely that deferring elements of design will be appropriate. </w:t>
      </w:r>
    </w:p>
    <w:p w14:paraId="11556815" w14:textId="77777777" w:rsidR="004A2031" w:rsidRDefault="004A2031" w:rsidP="004A2031">
      <w:r>
        <w:rPr>
          <w:rFonts w:ascii="Arial" w:hAnsi="Arial" w:cs="Arial"/>
          <w:sz w:val="22"/>
          <w:szCs w:val="22"/>
        </w:rPr>
        <w:t> </w:t>
      </w:r>
    </w:p>
    <w:p w14:paraId="1486B0FE" w14:textId="77777777" w:rsidR="004A2031" w:rsidRDefault="004A2031" w:rsidP="004A2031">
      <w:r>
        <w:rPr>
          <w:rFonts w:ascii="Arial" w:hAnsi="Arial" w:cs="Arial"/>
          <w:sz w:val="22"/>
          <w:szCs w:val="22"/>
        </w:rPr>
        <w:t>Statements of future intent, such as ‘</w:t>
      </w:r>
      <w:r>
        <w:rPr>
          <w:rFonts w:ascii="Arial" w:hAnsi="Arial" w:cs="Arial"/>
          <w:i/>
          <w:iCs/>
          <w:sz w:val="22"/>
          <w:szCs w:val="22"/>
        </w:rPr>
        <w:t>design details will come later when the cladding subcontractor has been onboarded</w:t>
      </w:r>
      <w:r>
        <w:rPr>
          <w:rFonts w:ascii="Arial" w:hAnsi="Arial" w:cs="Arial"/>
          <w:sz w:val="22"/>
          <w:szCs w:val="22"/>
        </w:rPr>
        <w:t>’ or ‘</w:t>
      </w:r>
      <w:r>
        <w:rPr>
          <w:rFonts w:ascii="Arial" w:hAnsi="Arial" w:cs="Arial"/>
          <w:i/>
          <w:iCs/>
          <w:sz w:val="22"/>
          <w:szCs w:val="22"/>
        </w:rPr>
        <w:t>testing will be undertaken during construction</w:t>
      </w:r>
      <w:r>
        <w:rPr>
          <w:rFonts w:ascii="Arial" w:hAnsi="Arial" w:cs="Arial"/>
          <w:sz w:val="22"/>
          <w:szCs w:val="22"/>
        </w:rPr>
        <w:t>’, are likely to undermine a successful application.</w:t>
      </w:r>
    </w:p>
    <w:p w14:paraId="0E40BF11" w14:textId="77777777" w:rsidR="004A2031" w:rsidRDefault="004A2031" w:rsidP="004A2031">
      <w:r>
        <w:rPr>
          <w:rFonts w:ascii="Arial" w:hAnsi="Arial" w:cs="Arial"/>
          <w:i/>
          <w:iCs/>
          <w:sz w:val="22"/>
          <w:szCs w:val="22"/>
        </w:rPr>
        <w:t> </w:t>
      </w:r>
    </w:p>
    <w:p w14:paraId="64EEAAE4" w14:textId="77777777" w:rsidR="004A2031" w:rsidRDefault="004A2031" w:rsidP="004A2031">
      <w:pPr>
        <w:numPr>
          <w:ilvl w:val="0"/>
          <w:numId w:val="1"/>
        </w:numPr>
        <w:ind w:left="360"/>
      </w:pPr>
      <w:r>
        <w:rPr>
          <w:rFonts w:ascii="Arial" w:hAnsi="Arial" w:cs="Arial"/>
          <w:b/>
          <w:bCs/>
          <w:sz w:val="22"/>
          <w:szCs w:val="22"/>
        </w:rPr>
        <w:t xml:space="preserve">Unsupported "non-worsening" claims </w:t>
      </w:r>
    </w:p>
    <w:p w14:paraId="331EE41D" w14:textId="77777777" w:rsidR="004A2031" w:rsidRDefault="004A2031" w:rsidP="004A2031">
      <w:r>
        <w:rPr>
          <w:rFonts w:ascii="Arial" w:hAnsi="Arial" w:cs="Arial"/>
          <w:b/>
          <w:bCs/>
          <w:sz w:val="22"/>
          <w:szCs w:val="22"/>
        </w:rPr>
        <w:t> </w:t>
      </w:r>
    </w:p>
    <w:p w14:paraId="43220CF8" w14:textId="77777777" w:rsidR="004A2031" w:rsidRDefault="004A2031" w:rsidP="004A2031">
      <w:r>
        <w:rPr>
          <w:rFonts w:ascii="Arial" w:hAnsi="Arial" w:cs="Arial"/>
          <w:sz w:val="22"/>
          <w:szCs w:val="22"/>
        </w:rPr>
        <w:t xml:space="preserve">Where you indicate that your proposal will not reduce standards, supporting evidence should be provided. </w:t>
      </w:r>
    </w:p>
    <w:p w14:paraId="0C58572B" w14:textId="77777777" w:rsidR="004A2031" w:rsidRDefault="004A2031" w:rsidP="004A2031">
      <w:r>
        <w:rPr>
          <w:rFonts w:ascii="Arial" w:hAnsi="Arial" w:cs="Arial"/>
          <w:sz w:val="22"/>
          <w:szCs w:val="22"/>
        </w:rPr>
        <w:t> </w:t>
      </w:r>
    </w:p>
    <w:p w14:paraId="3414D4A1" w14:textId="77777777" w:rsidR="004A2031" w:rsidRDefault="004A2031" w:rsidP="004A2031">
      <w:r>
        <w:rPr>
          <w:rFonts w:ascii="Arial" w:hAnsi="Arial" w:cs="Arial"/>
          <w:sz w:val="22"/>
          <w:szCs w:val="22"/>
        </w:rPr>
        <w:t>Non-worsening arguments must include comparative analysis that clearly demonstrates all regulatory requirements will continue to be met.</w:t>
      </w:r>
    </w:p>
    <w:p w14:paraId="1E2DED52" w14:textId="77777777" w:rsidR="004A2031" w:rsidRDefault="004A2031" w:rsidP="004A2031">
      <w:r>
        <w:rPr>
          <w:rFonts w:ascii="Arial" w:hAnsi="Arial" w:cs="Arial"/>
          <w:sz w:val="22"/>
          <w:szCs w:val="22"/>
        </w:rPr>
        <w:t> </w:t>
      </w:r>
    </w:p>
    <w:p w14:paraId="62F62B8B" w14:textId="77777777" w:rsidR="004A2031" w:rsidRDefault="004A2031" w:rsidP="004A2031">
      <w:pPr>
        <w:numPr>
          <w:ilvl w:val="0"/>
          <w:numId w:val="1"/>
        </w:numPr>
        <w:ind w:left="360"/>
      </w:pPr>
      <w:r>
        <w:rPr>
          <w:rFonts w:ascii="Arial" w:hAnsi="Arial" w:cs="Arial"/>
          <w:b/>
          <w:bCs/>
          <w:sz w:val="22"/>
          <w:szCs w:val="22"/>
        </w:rPr>
        <w:t xml:space="preserve">Common technical issues </w:t>
      </w:r>
    </w:p>
    <w:p w14:paraId="18F15BA6" w14:textId="77777777" w:rsidR="004A2031" w:rsidRDefault="004A2031" w:rsidP="004A2031">
      <w:pPr>
        <w:ind w:left="360"/>
      </w:pPr>
      <w:r>
        <w:rPr>
          <w:rFonts w:ascii="Arial" w:hAnsi="Arial" w:cs="Arial"/>
          <w:b/>
          <w:bCs/>
          <w:sz w:val="22"/>
          <w:szCs w:val="22"/>
        </w:rPr>
        <w:t> </w:t>
      </w:r>
    </w:p>
    <w:p w14:paraId="7E55B536" w14:textId="77777777" w:rsidR="004A2031" w:rsidRDefault="004A2031" w:rsidP="004A2031">
      <w:r>
        <w:rPr>
          <w:rFonts w:ascii="Arial" w:hAnsi="Arial" w:cs="Arial"/>
          <w:sz w:val="22"/>
          <w:szCs w:val="22"/>
        </w:rPr>
        <w:t>We continue to see several recurring omissions, including:</w:t>
      </w:r>
    </w:p>
    <w:p w14:paraId="3915C484" w14:textId="77777777" w:rsidR="004A2031" w:rsidRDefault="004A2031" w:rsidP="004A2031">
      <w:pPr>
        <w:numPr>
          <w:ilvl w:val="0"/>
          <w:numId w:val="2"/>
        </w:numPr>
        <w:rPr>
          <w:rFonts w:eastAsia="Times New Roman"/>
        </w:rPr>
      </w:pPr>
      <w:r>
        <w:rPr>
          <w:rFonts w:ascii="Arial" w:eastAsia="Times New Roman" w:hAnsi="Arial" w:cs="Arial"/>
          <w:sz w:val="22"/>
          <w:szCs w:val="22"/>
        </w:rPr>
        <w:t>Insufficient evidence of fire-resistant properties for replacement cladding and related materials (e.g. membranes), such as a lack of clear design or performance specifications and assurance that products are available on the market that meet those specifications.</w:t>
      </w:r>
    </w:p>
    <w:p w14:paraId="1320C503" w14:textId="77777777" w:rsidR="004A2031" w:rsidRDefault="004A2031" w:rsidP="004A2031">
      <w:pPr>
        <w:numPr>
          <w:ilvl w:val="0"/>
          <w:numId w:val="2"/>
        </w:numPr>
        <w:rPr>
          <w:rFonts w:eastAsia="Times New Roman"/>
        </w:rPr>
      </w:pPr>
      <w:r>
        <w:rPr>
          <w:rFonts w:ascii="Arial" w:eastAsia="Times New Roman" w:hAnsi="Arial" w:cs="Arial"/>
          <w:sz w:val="22"/>
          <w:szCs w:val="22"/>
        </w:rPr>
        <w:t>Lack of structural loading calculations, including wind loading, load transfer methods, and confirmation that the building can support the new cladding design.</w:t>
      </w:r>
    </w:p>
    <w:p w14:paraId="6B32BB62" w14:textId="77777777" w:rsidR="004A2031" w:rsidRDefault="004A2031" w:rsidP="004A2031">
      <w:pPr>
        <w:numPr>
          <w:ilvl w:val="0"/>
          <w:numId w:val="2"/>
        </w:numPr>
        <w:rPr>
          <w:rFonts w:eastAsia="Times New Roman"/>
        </w:rPr>
      </w:pPr>
      <w:r>
        <w:rPr>
          <w:rFonts w:ascii="Arial" w:eastAsia="Times New Roman" w:hAnsi="Arial" w:cs="Arial"/>
          <w:sz w:val="22"/>
          <w:szCs w:val="22"/>
        </w:rPr>
        <w:t xml:space="preserve">Insufficient explanation or evidence for cavity ventilation provision in external walls to prevent moisture build-up that could damage the building fabric. </w:t>
      </w:r>
    </w:p>
    <w:p w14:paraId="144BA0C1" w14:textId="77777777" w:rsidR="004A2031" w:rsidRDefault="004A2031" w:rsidP="004A2031">
      <w:pPr>
        <w:numPr>
          <w:ilvl w:val="0"/>
          <w:numId w:val="2"/>
        </w:numPr>
        <w:rPr>
          <w:rFonts w:eastAsia="Times New Roman"/>
        </w:rPr>
      </w:pPr>
      <w:r>
        <w:rPr>
          <w:rFonts w:ascii="Arial" w:eastAsia="Times New Roman" w:hAnsi="Arial" w:cs="Arial"/>
          <w:sz w:val="22"/>
          <w:szCs w:val="22"/>
        </w:rPr>
        <w:t>Incomplete demonstration of thermal performance (</w:t>
      </w:r>
      <w:r>
        <w:rPr>
          <w:rFonts w:ascii="Arial" w:eastAsia="Times New Roman" w:hAnsi="Arial" w:cs="Arial"/>
          <w:i/>
          <w:iCs/>
          <w:sz w:val="22"/>
          <w:szCs w:val="22"/>
        </w:rPr>
        <w:t>U-values</w:t>
      </w:r>
      <w:r>
        <w:rPr>
          <w:rFonts w:ascii="Arial" w:eastAsia="Times New Roman" w:hAnsi="Arial" w:cs="Arial"/>
          <w:sz w:val="22"/>
          <w:szCs w:val="22"/>
        </w:rPr>
        <w:t>) of the new cladding system.</w:t>
      </w:r>
    </w:p>
    <w:p w14:paraId="3462D339" w14:textId="77777777" w:rsidR="004A2031" w:rsidRDefault="004A2031" w:rsidP="004A2031">
      <w:pPr>
        <w:ind w:left="360"/>
      </w:pPr>
      <w:r>
        <w:rPr>
          <w:rFonts w:ascii="Arial" w:hAnsi="Arial" w:cs="Arial"/>
          <w:sz w:val="22"/>
          <w:szCs w:val="22"/>
        </w:rPr>
        <w:t> </w:t>
      </w:r>
    </w:p>
    <w:p w14:paraId="4E4DF3A5" w14:textId="77777777" w:rsidR="004A2031" w:rsidRDefault="004A2031" w:rsidP="004A2031">
      <w:r>
        <w:rPr>
          <w:rFonts w:ascii="Arial" w:hAnsi="Arial" w:cs="Arial"/>
          <w:sz w:val="22"/>
          <w:szCs w:val="22"/>
        </w:rPr>
        <w:t>These omissions slow down assessments significantly, create preventable back and forth correspondence, and increase cost as a result.</w:t>
      </w:r>
    </w:p>
    <w:p w14:paraId="1F88D4CA" w14:textId="77777777" w:rsidR="004A2031" w:rsidRDefault="004A2031" w:rsidP="004A2031">
      <w:r>
        <w:rPr>
          <w:rFonts w:ascii="Arial" w:hAnsi="Arial" w:cs="Arial"/>
          <w:sz w:val="22"/>
          <w:szCs w:val="22"/>
        </w:rPr>
        <w:t> </w:t>
      </w:r>
    </w:p>
    <w:p w14:paraId="5F5806AC" w14:textId="77777777" w:rsidR="004A2031" w:rsidRDefault="004A2031" w:rsidP="004A2031">
      <w:pPr>
        <w:pStyle w:val="ListParagraph"/>
        <w:numPr>
          <w:ilvl w:val="0"/>
          <w:numId w:val="1"/>
        </w:numPr>
        <w:ind w:left="360"/>
      </w:pPr>
      <w:r>
        <w:rPr>
          <w:rFonts w:ascii="Arial" w:hAnsi="Arial" w:cs="Arial"/>
          <w:b/>
          <w:bCs/>
          <w:sz w:val="22"/>
          <w:szCs w:val="22"/>
        </w:rPr>
        <w:t>Poorly organised documents</w:t>
      </w:r>
    </w:p>
    <w:p w14:paraId="4F04E4A7" w14:textId="77777777" w:rsidR="004A2031" w:rsidRDefault="004A2031" w:rsidP="004A2031">
      <w:r>
        <w:rPr>
          <w:rFonts w:ascii="Arial" w:hAnsi="Arial" w:cs="Arial"/>
          <w:sz w:val="22"/>
          <w:szCs w:val="22"/>
        </w:rPr>
        <w:t> </w:t>
      </w:r>
    </w:p>
    <w:p w14:paraId="09C4B14A" w14:textId="77777777" w:rsidR="004A2031" w:rsidRDefault="004A2031" w:rsidP="004A2031">
      <w:r>
        <w:rPr>
          <w:rFonts w:ascii="Arial" w:hAnsi="Arial" w:cs="Arial"/>
          <w:sz w:val="22"/>
          <w:szCs w:val="22"/>
        </w:rPr>
        <w:t>Our assessment relies on your documentation. To progress applications, we need to have the right documents, in the right order. To prevent poor documentation slowing down your application, it can help to:</w:t>
      </w:r>
    </w:p>
    <w:p w14:paraId="59D21675" w14:textId="77777777" w:rsidR="004A2031" w:rsidRDefault="004A2031" w:rsidP="004A2031">
      <w:r>
        <w:rPr>
          <w:rFonts w:ascii="Arial" w:hAnsi="Arial" w:cs="Arial"/>
          <w:sz w:val="22"/>
          <w:szCs w:val="22"/>
        </w:rPr>
        <w:t> </w:t>
      </w:r>
    </w:p>
    <w:p w14:paraId="6BB477A5" w14:textId="77777777" w:rsidR="004A2031" w:rsidRDefault="004A2031" w:rsidP="004A2031">
      <w:pPr>
        <w:pStyle w:val="ListParagraph"/>
        <w:numPr>
          <w:ilvl w:val="0"/>
          <w:numId w:val="3"/>
        </w:numPr>
        <w:ind w:left="780"/>
      </w:pPr>
      <w:r>
        <w:rPr>
          <w:rFonts w:ascii="Arial" w:hAnsi="Arial" w:cs="Arial"/>
          <w:sz w:val="22"/>
          <w:szCs w:val="22"/>
        </w:rPr>
        <w:t>Make sure that all documents included contain relevant information, relate to the correct building, and link up to one another.</w:t>
      </w:r>
    </w:p>
    <w:p w14:paraId="055ED96D" w14:textId="77777777" w:rsidR="004A2031" w:rsidRDefault="004A2031" w:rsidP="004A2031">
      <w:pPr>
        <w:pStyle w:val="ListParagraph"/>
        <w:numPr>
          <w:ilvl w:val="0"/>
          <w:numId w:val="3"/>
        </w:numPr>
        <w:ind w:left="780"/>
      </w:pPr>
      <w:r>
        <w:rPr>
          <w:rFonts w:ascii="Arial" w:hAnsi="Arial" w:cs="Arial"/>
          <w:sz w:val="22"/>
          <w:szCs w:val="22"/>
        </w:rPr>
        <w:t>Set out clearly what the project is, what Building Regulations it will need to comply with, how it will comply, and how compliance will be evidenced.</w:t>
      </w:r>
    </w:p>
    <w:p w14:paraId="22C7CE0A" w14:textId="77777777" w:rsidR="004A2031" w:rsidRDefault="004A2031" w:rsidP="004A2031">
      <w:pPr>
        <w:pStyle w:val="ListParagraph"/>
        <w:numPr>
          <w:ilvl w:val="0"/>
          <w:numId w:val="3"/>
        </w:numPr>
        <w:ind w:left="780"/>
      </w:pPr>
      <w:r>
        <w:rPr>
          <w:rFonts w:ascii="Arial" w:hAnsi="Arial" w:cs="Arial"/>
          <w:sz w:val="22"/>
          <w:szCs w:val="22"/>
        </w:rPr>
        <w:lastRenderedPageBreak/>
        <w:t>Use a portal folder structure to break your application into clearly labelled parts.</w:t>
      </w:r>
    </w:p>
    <w:p w14:paraId="66382C3F" w14:textId="77777777" w:rsidR="004A2031" w:rsidRDefault="004A2031" w:rsidP="004A2031">
      <w:pPr>
        <w:pStyle w:val="ListParagraph"/>
        <w:numPr>
          <w:ilvl w:val="0"/>
          <w:numId w:val="3"/>
        </w:numPr>
        <w:ind w:left="780"/>
      </w:pPr>
      <w:r>
        <w:rPr>
          <w:rFonts w:ascii="Arial" w:hAnsi="Arial" w:cs="Arial"/>
          <w:sz w:val="22"/>
          <w:szCs w:val="22"/>
        </w:rPr>
        <w:t>Use a clear index (or indexes) to signpost where information is.</w:t>
      </w:r>
    </w:p>
    <w:p w14:paraId="14066C31" w14:textId="77777777" w:rsidR="004A2031" w:rsidRDefault="004A2031" w:rsidP="004A2031">
      <w:pPr>
        <w:pStyle w:val="ListParagraph"/>
        <w:ind w:left="780"/>
      </w:pPr>
      <w:r>
        <w:rPr>
          <w:rFonts w:ascii="Arial" w:hAnsi="Arial" w:cs="Arial"/>
          <w:sz w:val="22"/>
          <w:szCs w:val="22"/>
        </w:rPr>
        <w:t> </w:t>
      </w:r>
    </w:p>
    <w:p w14:paraId="55715E94" w14:textId="77777777" w:rsidR="004A2031" w:rsidRDefault="004A2031" w:rsidP="004A2031">
      <w:r>
        <w:rPr>
          <w:rFonts w:ascii="Arial" w:hAnsi="Arial" w:cs="Arial"/>
          <w:sz w:val="22"/>
          <w:szCs w:val="22"/>
        </w:rPr>
        <w:t>Good practice in organising your documents will enable us to make sense of your application more quickly and effectively.</w:t>
      </w:r>
    </w:p>
    <w:p w14:paraId="7946383E" w14:textId="77777777" w:rsidR="004A2031" w:rsidRDefault="004A2031" w:rsidP="004A2031">
      <w:r>
        <w:rPr>
          <w:rFonts w:ascii="Arial" w:hAnsi="Arial" w:cs="Arial"/>
          <w:sz w:val="22"/>
          <w:szCs w:val="22"/>
        </w:rPr>
        <w:t> </w:t>
      </w:r>
    </w:p>
    <w:p w14:paraId="15E8929E" w14:textId="77777777" w:rsidR="004A2031" w:rsidRDefault="004A2031" w:rsidP="004A2031">
      <w:r>
        <w:rPr>
          <w:rFonts w:ascii="Arial" w:hAnsi="Arial" w:cs="Arial"/>
          <w:b/>
          <w:bCs/>
        </w:rPr>
        <w:t> </w:t>
      </w:r>
    </w:p>
    <w:p w14:paraId="164D870D" w14:textId="77777777" w:rsidR="004A2031" w:rsidRDefault="004A2031" w:rsidP="004A2031">
      <w:r>
        <w:rPr>
          <w:rFonts w:ascii="Arial" w:hAnsi="Arial" w:cs="Arial"/>
          <w:b/>
          <w:bCs/>
        </w:rPr>
        <w:t>Further guidance to support you</w:t>
      </w:r>
    </w:p>
    <w:p w14:paraId="3742B46C" w14:textId="77777777" w:rsidR="004A2031" w:rsidRDefault="004A2031" w:rsidP="004A2031">
      <w:r>
        <w:rPr>
          <w:rFonts w:ascii="Arial" w:hAnsi="Arial" w:cs="Arial"/>
          <w:sz w:val="22"/>
          <w:szCs w:val="22"/>
        </w:rPr>
        <w:t> </w:t>
      </w:r>
    </w:p>
    <w:p w14:paraId="15105DA4" w14:textId="77777777" w:rsidR="004A2031" w:rsidRDefault="004A2031" w:rsidP="004A2031">
      <w:r>
        <w:rPr>
          <w:rFonts w:ascii="Arial" w:hAnsi="Arial" w:cs="Arial"/>
          <w:sz w:val="22"/>
          <w:szCs w:val="22"/>
        </w:rPr>
        <w:t xml:space="preserve">BSR has published additional guidance to support those delivering external remediation work on existing HRBs - </w:t>
      </w:r>
      <w:hyperlink r:id="rId5" w:anchor="before-applying-existing-higher-risk-buildings" w:history="1">
        <w:r>
          <w:rPr>
            <w:rStyle w:val="Hyperlink"/>
            <w:rFonts w:ascii="Arial" w:hAnsi="Arial" w:cs="Arial"/>
            <w:sz w:val="22"/>
            <w:szCs w:val="22"/>
          </w:rPr>
          <w:t>Building control approval for higher-risk buildings - GOV.UK</w:t>
        </w:r>
      </w:hyperlink>
      <w:r>
        <w:rPr>
          <w:rFonts w:ascii="Arial" w:hAnsi="Arial" w:cs="Arial"/>
          <w:sz w:val="22"/>
          <w:szCs w:val="22"/>
        </w:rPr>
        <w:t>. This will also support applicants undertaking any other work to existing HRBs.</w:t>
      </w:r>
      <w:r>
        <w:br/>
      </w:r>
      <w:r>
        <w:br/>
      </w:r>
    </w:p>
    <w:p w14:paraId="2FE51E37" w14:textId="77777777" w:rsidR="004A2031" w:rsidRDefault="004A2031" w:rsidP="004A2031">
      <w:r>
        <w:rPr>
          <w:rFonts w:ascii="Arial" w:hAnsi="Arial" w:cs="Arial"/>
          <w:sz w:val="22"/>
          <w:szCs w:val="22"/>
        </w:rPr>
        <w:t xml:space="preserve">Information on our external remediation improvement plan has also been published alongside that guidance - </w:t>
      </w:r>
      <w:hyperlink r:id="rId6" w:history="1">
        <w:r>
          <w:rPr>
            <w:rStyle w:val="Hyperlink"/>
            <w:rFonts w:ascii="Arial" w:hAnsi="Arial" w:cs="Arial"/>
            <w:sz w:val="22"/>
            <w:szCs w:val="22"/>
          </w:rPr>
          <w:t>BSR plans to reduce external remediation delays and improve management of application caseloads - GOV.UK</w:t>
        </w:r>
      </w:hyperlink>
    </w:p>
    <w:p w14:paraId="03C50252" w14:textId="77777777" w:rsidR="004A2031" w:rsidRDefault="004A2031" w:rsidP="004A2031">
      <w:r>
        <w:rPr>
          <w:rFonts w:ascii="Arial" w:hAnsi="Arial" w:cs="Arial"/>
          <w:sz w:val="22"/>
          <w:szCs w:val="22"/>
        </w:rPr>
        <w:t> </w:t>
      </w:r>
    </w:p>
    <w:p w14:paraId="37F6AB34" w14:textId="77777777" w:rsidR="004A2031" w:rsidRDefault="004A2031" w:rsidP="004A2031">
      <w:r>
        <w:rPr>
          <w:rFonts w:ascii="Arial" w:hAnsi="Arial" w:cs="Arial"/>
          <w:sz w:val="22"/>
          <w:szCs w:val="22"/>
        </w:rPr>
        <w:t xml:space="preserve">Further guidance on BSR’s approach to determining applications including remediation applications, can be found on our campaign site – </w:t>
      </w:r>
      <w:hyperlink r:id="rId7" w:history="1">
        <w:r>
          <w:rPr>
            <w:rStyle w:val="Hyperlink"/>
            <w:rFonts w:ascii="Arial" w:hAnsi="Arial" w:cs="Arial"/>
            <w:sz w:val="22"/>
            <w:szCs w:val="22"/>
          </w:rPr>
          <w:t>Criteria for validating, approving or rejecting building control applications - Making Buildings Safer</w:t>
        </w:r>
      </w:hyperlink>
      <w:r>
        <w:rPr>
          <w:rFonts w:ascii="Arial" w:hAnsi="Arial" w:cs="Arial"/>
          <w:sz w:val="22"/>
          <w:szCs w:val="22"/>
        </w:rPr>
        <w:t xml:space="preserve">. </w:t>
      </w:r>
    </w:p>
    <w:p w14:paraId="0D12B233" w14:textId="77777777" w:rsidR="004A2031" w:rsidRDefault="004A2031" w:rsidP="004A2031">
      <w:r>
        <w:rPr>
          <w:rFonts w:ascii="Arial" w:hAnsi="Arial" w:cs="Arial"/>
          <w:b/>
          <w:bCs/>
        </w:rPr>
        <w:t> </w:t>
      </w:r>
    </w:p>
    <w:p w14:paraId="214B0CDF" w14:textId="77777777" w:rsidR="004A2031" w:rsidRDefault="004A2031" w:rsidP="004A2031">
      <w:r>
        <w:rPr>
          <w:rFonts w:ascii="Arial" w:hAnsi="Arial" w:cs="Arial"/>
          <w:sz w:val="22"/>
          <w:szCs w:val="22"/>
        </w:rPr>
        <w:t xml:space="preserve">We also encourage you to make full use of the industry-supported guidance developed in collaboration with the </w:t>
      </w:r>
      <w:hyperlink r:id="rId8" w:history="1">
        <w:r>
          <w:rPr>
            <w:rStyle w:val="Hyperlink"/>
            <w:rFonts w:ascii="Arial" w:hAnsi="Arial" w:cs="Arial"/>
            <w:sz w:val="22"/>
            <w:szCs w:val="22"/>
          </w:rPr>
          <w:t>Construction Leadership Council (CLC)</w:t>
        </w:r>
      </w:hyperlink>
      <w:r>
        <w:rPr>
          <w:rFonts w:ascii="Arial" w:hAnsi="Arial" w:cs="Arial"/>
          <w:sz w:val="22"/>
          <w:szCs w:val="22"/>
        </w:rPr>
        <w:t xml:space="preserve">. In particular, guidance note 2, sufficient level of design. While some of the guidance is aimed at new higher-risk buildings, much is equally relevant to remediation work. </w:t>
      </w:r>
    </w:p>
    <w:p w14:paraId="57397F48" w14:textId="77777777" w:rsidR="004A2031" w:rsidRDefault="004A2031" w:rsidP="004A2031">
      <w:r>
        <w:rPr>
          <w:rFonts w:ascii="Arial" w:hAnsi="Arial" w:cs="Arial"/>
          <w:sz w:val="22"/>
          <w:szCs w:val="22"/>
        </w:rPr>
        <w:t> </w:t>
      </w:r>
    </w:p>
    <w:p w14:paraId="53D4D6CE" w14:textId="77777777" w:rsidR="004A2031" w:rsidRDefault="004A2031" w:rsidP="004A2031">
      <w:r>
        <w:rPr>
          <w:rFonts w:ascii="Arial" w:hAnsi="Arial" w:cs="Arial"/>
          <w:sz w:val="22"/>
          <w:szCs w:val="22"/>
        </w:rPr>
        <w:t xml:space="preserve">Additionally, the CLC is developing guidance on the Fire Emergency File and Building Regulations Compliance Statement relevant to both new builds and remediation projects. This will be published as soon as it is available. </w:t>
      </w:r>
    </w:p>
    <w:p w14:paraId="27417B06" w14:textId="77777777" w:rsidR="004A2031" w:rsidRDefault="004A2031" w:rsidP="004A2031">
      <w:r>
        <w:rPr>
          <w:rFonts w:ascii="Arial" w:hAnsi="Arial" w:cs="Arial"/>
          <w:sz w:val="22"/>
          <w:szCs w:val="22"/>
        </w:rPr>
        <w:t> </w:t>
      </w:r>
    </w:p>
    <w:p w14:paraId="16195505" w14:textId="77777777" w:rsidR="004A2031" w:rsidRDefault="004A2031" w:rsidP="004A2031">
      <w:r>
        <w:rPr>
          <w:rFonts w:ascii="Arial" w:hAnsi="Arial" w:cs="Arial"/>
          <w:sz w:val="22"/>
          <w:szCs w:val="22"/>
        </w:rPr>
        <w:t>As BSR begins its new chapter as a standalone public body, our focus is on collaboration, clarity and enabling progress at pace without compromising the safety and standards residents rightly expect.</w:t>
      </w:r>
    </w:p>
    <w:p w14:paraId="64DF715D" w14:textId="77777777" w:rsidR="004A2031" w:rsidRDefault="004A2031" w:rsidP="004A2031">
      <w:r>
        <w:rPr>
          <w:rFonts w:ascii="Arial" w:hAnsi="Arial" w:cs="Arial"/>
          <w:sz w:val="22"/>
          <w:szCs w:val="22"/>
        </w:rPr>
        <w:t> </w:t>
      </w:r>
    </w:p>
    <w:p w14:paraId="6B0CE0BD" w14:textId="77777777" w:rsidR="004A2031" w:rsidRDefault="004A2031" w:rsidP="004A2031">
      <w:r>
        <w:rPr>
          <w:rFonts w:ascii="Arial" w:hAnsi="Arial" w:cs="Arial"/>
          <w:sz w:val="22"/>
          <w:szCs w:val="22"/>
        </w:rPr>
        <w:t>Your work is essential to achieving that. By addressing the issues outlined above at the outset of your applications, you will help accelerate remediation decisions and support safer homes, delivered sooner.</w:t>
      </w:r>
    </w:p>
    <w:p w14:paraId="68169856" w14:textId="77777777" w:rsidR="004A2031" w:rsidRDefault="004A2031" w:rsidP="004A2031">
      <w:r>
        <w:rPr>
          <w:rFonts w:ascii="Arial" w:hAnsi="Arial" w:cs="Arial"/>
          <w:sz w:val="22"/>
          <w:szCs w:val="22"/>
        </w:rPr>
        <w:t> </w:t>
      </w:r>
    </w:p>
    <w:p w14:paraId="45DF07D0" w14:textId="77777777" w:rsidR="004A2031" w:rsidRDefault="004A2031" w:rsidP="004A2031">
      <w:r>
        <w:rPr>
          <w:rFonts w:ascii="Arial" w:hAnsi="Arial" w:cs="Arial"/>
          <w:sz w:val="22"/>
          <w:szCs w:val="22"/>
        </w:rPr>
        <w:t>If you need further advice or wish to discuss any element of the requirements, our team is here to support you.</w:t>
      </w:r>
    </w:p>
    <w:p w14:paraId="183B97F9" w14:textId="77777777" w:rsidR="004A2031" w:rsidRDefault="004A2031" w:rsidP="004A2031">
      <w:r>
        <w:rPr>
          <w:rFonts w:ascii="Arial" w:hAnsi="Arial" w:cs="Arial"/>
          <w:sz w:val="22"/>
          <w:szCs w:val="22"/>
        </w:rPr>
        <w:t> </w:t>
      </w:r>
    </w:p>
    <w:p w14:paraId="4141E407" w14:textId="77777777" w:rsidR="004A2031" w:rsidRDefault="004A2031" w:rsidP="004A2031">
      <w:r>
        <w:rPr>
          <w:rFonts w:ascii="Arial" w:hAnsi="Arial" w:cs="Arial"/>
          <w:sz w:val="22"/>
          <w:szCs w:val="22"/>
        </w:rPr>
        <w:t xml:space="preserve">How to contact the Building Safety Regulator - </w:t>
      </w:r>
      <w:hyperlink r:id="rId9" w:history="1">
        <w:r>
          <w:rPr>
            <w:rStyle w:val="Hyperlink"/>
            <w:rFonts w:ascii="Arial" w:hAnsi="Arial" w:cs="Arial"/>
            <w:sz w:val="22"/>
            <w:szCs w:val="22"/>
          </w:rPr>
          <w:t>Contact the Building Safety Regulator - GOV.UK</w:t>
        </w:r>
      </w:hyperlink>
    </w:p>
    <w:p w14:paraId="2FFB7E56" w14:textId="77777777" w:rsidR="002218B1" w:rsidRDefault="002218B1"/>
    <w:sectPr w:rsidR="00221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E1CC1"/>
    <w:multiLevelType w:val="multilevel"/>
    <w:tmpl w:val="9E4A1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0987567"/>
    <w:multiLevelType w:val="multilevel"/>
    <w:tmpl w:val="608C5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CF3ECC"/>
    <w:multiLevelType w:val="multilevel"/>
    <w:tmpl w:val="8F229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22737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11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807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31"/>
    <w:rsid w:val="002218B1"/>
    <w:rsid w:val="004A2031"/>
    <w:rsid w:val="008E0ADB"/>
    <w:rsid w:val="00AE4D4A"/>
    <w:rsid w:val="00DA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5D09"/>
  <w15:chartTrackingRefBased/>
  <w15:docId w15:val="{69500A7D-C2A3-4B11-A3A7-7A3A0324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031"/>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4A2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0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0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0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0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031"/>
    <w:rPr>
      <w:rFonts w:eastAsiaTheme="majorEastAsia" w:cstheme="majorBidi"/>
      <w:color w:val="272727" w:themeColor="text1" w:themeTint="D8"/>
    </w:rPr>
  </w:style>
  <w:style w:type="paragraph" w:styleId="Title">
    <w:name w:val="Title"/>
    <w:basedOn w:val="Normal"/>
    <w:next w:val="Normal"/>
    <w:link w:val="TitleChar"/>
    <w:uiPriority w:val="10"/>
    <w:qFormat/>
    <w:rsid w:val="004A20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031"/>
    <w:pPr>
      <w:spacing w:before="160"/>
      <w:jc w:val="center"/>
    </w:pPr>
    <w:rPr>
      <w:i/>
      <w:iCs/>
      <w:color w:val="404040" w:themeColor="text1" w:themeTint="BF"/>
    </w:rPr>
  </w:style>
  <w:style w:type="character" w:customStyle="1" w:styleId="QuoteChar">
    <w:name w:val="Quote Char"/>
    <w:basedOn w:val="DefaultParagraphFont"/>
    <w:link w:val="Quote"/>
    <w:uiPriority w:val="29"/>
    <w:rsid w:val="004A2031"/>
    <w:rPr>
      <w:i/>
      <w:iCs/>
      <w:color w:val="404040" w:themeColor="text1" w:themeTint="BF"/>
    </w:rPr>
  </w:style>
  <w:style w:type="paragraph" w:styleId="ListParagraph">
    <w:name w:val="List Paragraph"/>
    <w:basedOn w:val="Normal"/>
    <w:uiPriority w:val="34"/>
    <w:qFormat/>
    <w:rsid w:val="004A2031"/>
    <w:pPr>
      <w:ind w:left="720"/>
      <w:contextualSpacing/>
    </w:pPr>
  </w:style>
  <w:style w:type="character" w:styleId="IntenseEmphasis">
    <w:name w:val="Intense Emphasis"/>
    <w:basedOn w:val="DefaultParagraphFont"/>
    <w:uiPriority w:val="21"/>
    <w:qFormat/>
    <w:rsid w:val="004A2031"/>
    <w:rPr>
      <w:i/>
      <w:iCs/>
      <w:color w:val="0F4761" w:themeColor="accent1" w:themeShade="BF"/>
    </w:rPr>
  </w:style>
  <w:style w:type="paragraph" w:styleId="IntenseQuote">
    <w:name w:val="Intense Quote"/>
    <w:basedOn w:val="Normal"/>
    <w:next w:val="Normal"/>
    <w:link w:val="IntenseQuoteChar"/>
    <w:uiPriority w:val="30"/>
    <w:qFormat/>
    <w:rsid w:val="004A2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031"/>
    <w:rPr>
      <w:i/>
      <w:iCs/>
      <w:color w:val="0F4761" w:themeColor="accent1" w:themeShade="BF"/>
    </w:rPr>
  </w:style>
  <w:style w:type="character" w:styleId="IntenseReference">
    <w:name w:val="Intense Reference"/>
    <w:basedOn w:val="DefaultParagraphFont"/>
    <w:uiPriority w:val="32"/>
    <w:qFormat/>
    <w:rsid w:val="004A2031"/>
    <w:rPr>
      <w:b/>
      <w:bCs/>
      <w:smallCaps/>
      <w:color w:val="0F4761" w:themeColor="accent1" w:themeShade="BF"/>
      <w:spacing w:val="5"/>
    </w:rPr>
  </w:style>
  <w:style w:type="character" w:styleId="Hyperlink">
    <w:name w:val="Hyperlink"/>
    <w:basedOn w:val="DefaultParagraphFont"/>
    <w:uiPriority w:val="99"/>
    <w:semiHidden/>
    <w:unhideWhenUsed/>
    <w:rsid w:val="004A203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leadershipcouncil.co.uk/hrb-gw2/" TargetMode="External"/><Relationship Id="rId3" Type="http://schemas.openxmlformats.org/officeDocument/2006/relationships/settings" Target="settings.xml"/><Relationship Id="rId7" Type="http://schemas.openxmlformats.org/officeDocument/2006/relationships/hyperlink" Target="https://buildingsafety.campaign.gov.uk/building-safety-regulator-making-buildings-safer/the-building-control-authority/criteria-for-validating-approving-or-rejecting-building-control-applications/?utm_source=remediation&amp;utm_medium=papletter&amp;utm_campaign=BSR&amp;utm_content=residents-part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news/bsr-plans-to-reduce-external-remediation-delays-and-improve-management-of-application-caseloads?utm_source=papletter&amp;utm_medium=remediation&amp;utm_campaign=BSR&amp;utm_content=residents-partners" TargetMode="External"/><Relationship Id="rId11" Type="http://schemas.openxmlformats.org/officeDocument/2006/relationships/theme" Target="theme/theme1.xml"/><Relationship Id="rId5" Type="http://schemas.openxmlformats.org/officeDocument/2006/relationships/hyperlink" Target="https://www.gov.uk/guidance/building-control-approval-for-higher-risk-buildings?utm_source=remediation&amp;utm_medium=papletter&amp;utm_campaign=BSR&amp;utm_content=residents-partne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contact-the-building-safety-reg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4848</Characters>
  <Application>Microsoft Office Word</Application>
  <DocSecurity>0</DocSecurity>
  <Lines>118</Lines>
  <Paragraphs>46</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Bravery</dc:creator>
  <cp:keywords/>
  <dc:description/>
  <cp:lastModifiedBy>Ruth Bravery</cp:lastModifiedBy>
  <cp:revision>2</cp:revision>
  <dcterms:created xsi:type="dcterms:W3CDTF">2026-04-10T07:55:00Z</dcterms:created>
  <dcterms:modified xsi:type="dcterms:W3CDTF">2026-04-10T07:56:00Z</dcterms:modified>
</cp:coreProperties>
</file>