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DB42" w14:textId="77777777" w:rsidR="00646E57" w:rsidRPr="00646E57" w:rsidRDefault="00646E57" w:rsidP="00646E57">
      <w:pPr>
        <w:spacing w:before="100" w:beforeAutospacing="1" w:after="100" w:afterAutospacing="1"/>
        <w:outlineLvl w:val="0"/>
        <w:rPr>
          <w:rFonts w:ascii="Georgia" w:eastAsia="Times New Roman" w:hAnsi="Georgia" w:cs="Times New Roman"/>
          <w:b/>
          <w:bCs/>
          <w:color w:val="000000"/>
          <w:kern w:val="36"/>
          <w:lang w:eastAsia="en-GB"/>
        </w:rPr>
      </w:pPr>
      <w:r w:rsidRPr="00646E57">
        <w:rPr>
          <w:rFonts w:ascii="Georgia" w:eastAsia="Times New Roman" w:hAnsi="Georgia" w:cs="Times New Roman"/>
          <w:b/>
          <w:bCs/>
          <w:color w:val="000000"/>
          <w:kern w:val="36"/>
          <w:lang w:eastAsia="en-GB"/>
        </w:rPr>
        <w:t>Coate (Badbury Park) Residents Working Group</w:t>
      </w:r>
    </w:p>
    <w:p w14:paraId="2A464121" w14:textId="77777777" w:rsidR="00646E57" w:rsidRPr="00646E57" w:rsidRDefault="00646E57" w:rsidP="00646E57">
      <w:pPr>
        <w:spacing w:before="100" w:beforeAutospacing="1" w:after="100" w:afterAutospacing="1"/>
        <w:outlineLvl w:val="1"/>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Resident Information Sheet – Remus Open Surgery</w:t>
      </w:r>
    </w:p>
    <w:p w14:paraId="3E2E9721" w14:textId="77777777" w:rsidR="00935378" w:rsidRDefault="00646E57" w:rsidP="00935378">
      <w:pPr>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Date:</w:t>
      </w:r>
      <w:r w:rsidRPr="00646E57">
        <w:rPr>
          <w:rFonts w:ascii="Georgia" w:eastAsia="Times New Roman" w:hAnsi="Georgia" w:cs="Times New Roman"/>
          <w:color w:val="000000"/>
          <w:lang w:eastAsia="en-GB"/>
        </w:rPr>
        <w:t> 24 March 2026</w:t>
      </w:r>
      <w:r w:rsidRPr="00646E57">
        <w:rPr>
          <w:rFonts w:ascii="Georgia" w:eastAsia="Times New Roman" w:hAnsi="Georgia" w:cs="Times New Roman"/>
          <w:color w:val="000000"/>
          <w:lang w:eastAsia="en-GB"/>
        </w:rPr>
        <w:br/>
      </w:r>
    </w:p>
    <w:p w14:paraId="643D53C5" w14:textId="067E812F" w:rsidR="00646E57" w:rsidRPr="00646E57" w:rsidRDefault="00646E57" w:rsidP="00935378">
      <w:pPr>
        <w:rPr>
          <w:rFonts w:ascii="Georgia" w:eastAsia="Times New Roman" w:hAnsi="Georgia" w:cs="Times New Roman"/>
          <w:color w:val="000000"/>
          <w:lang w:eastAsia="en-GB"/>
        </w:rPr>
      </w:pPr>
      <w:r w:rsidRPr="00646E57">
        <w:rPr>
          <w:rFonts w:ascii="Georgia" w:eastAsia="Times New Roman" w:hAnsi="Georgia" w:cs="Times New Roman"/>
          <w:b/>
          <w:bCs/>
          <w:color w:val="000000"/>
          <w:lang w:eastAsia="en-GB"/>
        </w:rPr>
        <w:t>Email:</w:t>
      </w:r>
      <w:r w:rsidRPr="00646E57">
        <w:rPr>
          <w:rFonts w:ascii="Georgia" w:eastAsia="Times New Roman" w:hAnsi="Georgia" w:cs="Times New Roman"/>
          <w:color w:val="000000"/>
          <w:lang w:eastAsia="en-GB"/>
        </w:rPr>
        <w:t> jo.wilcox@remus-mgmt.co.uk</w:t>
      </w:r>
      <w:r w:rsidRPr="00646E57">
        <w:rPr>
          <w:rFonts w:ascii="Georgia" w:eastAsia="Times New Roman" w:hAnsi="Georgia" w:cs="Times New Roman"/>
          <w:color w:val="000000"/>
          <w:lang w:eastAsia="en-GB"/>
        </w:rPr>
        <w:br/>
      </w:r>
      <w:r w:rsidRPr="00646E57">
        <w:rPr>
          <w:rFonts w:ascii="Georgia" w:eastAsia="Times New Roman" w:hAnsi="Georgia" w:cs="Times New Roman"/>
          <w:b/>
          <w:bCs/>
          <w:color w:val="000000"/>
          <w:lang w:eastAsia="en-GB"/>
        </w:rPr>
        <w:t>Cc:</w:t>
      </w:r>
      <w:r w:rsidRPr="00646E57">
        <w:rPr>
          <w:rFonts w:ascii="Georgia" w:eastAsia="Times New Roman" w:hAnsi="Georgia" w:cs="Times New Roman"/>
          <w:color w:val="000000"/>
          <w:lang w:eastAsia="en-GB"/>
        </w:rPr>
        <w:t> danielle.parker@fexcopropertyservices.co.uk, helen.roberts@fexcopropertyservices.co.uk, Coatebadburypark@gmail.com</w:t>
      </w:r>
    </w:p>
    <w:p w14:paraId="2F52240D" w14:textId="77777777" w:rsidR="00646E57" w:rsidRPr="00646E57" w:rsidRDefault="00646E57" w:rsidP="00646E57">
      <w:pPr>
        <w:spacing w:before="100" w:beforeAutospacing="1" w:after="100" w:afterAutospacing="1"/>
        <w:outlineLvl w:val="2"/>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About the Residents Working Group</w:t>
      </w:r>
    </w:p>
    <w:p w14:paraId="7D3DDEC3" w14:textId="77777777" w:rsidR="00646E57" w:rsidRPr="00646E57" w:rsidRDefault="00646E57" w:rsidP="00646E57">
      <w:p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The Coate (Badbury Park) Residents Working Group has supported residents since 2018 and continues to work constructively with property managers, developers, ward councillors, Members of Parliament, and Swindon Borough Council to help address issues affecting the Badbury Park community.</w:t>
      </w:r>
    </w:p>
    <w:p w14:paraId="4997C917" w14:textId="77777777" w:rsidR="00646E57" w:rsidRPr="00646E57" w:rsidRDefault="00646E57" w:rsidP="00646E57">
      <w:p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b/>
          <w:bCs/>
          <w:color w:val="000000"/>
          <w:lang w:eastAsia="en-GB"/>
        </w:rPr>
        <w:t>Website:</w:t>
      </w:r>
      <w:r w:rsidRPr="00646E57">
        <w:rPr>
          <w:rFonts w:ascii="Georgia" w:eastAsia="Times New Roman" w:hAnsi="Georgia" w:cs="Times New Roman"/>
          <w:color w:val="000000"/>
          <w:lang w:eastAsia="en-GB"/>
        </w:rPr>
        <w:t> </w:t>
      </w:r>
      <w:hyperlink r:id="rId7" w:tgtFrame="_new" w:history="1">
        <w:r w:rsidRPr="00646E57">
          <w:rPr>
            <w:rFonts w:ascii="Georgia" w:eastAsia="Times New Roman" w:hAnsi="Georgia" w:cs="Times New Roman"/>
            <w:color w:val="0000FF"/>
            <w:u w:val="single"/>
            <w:lang w:eastAsia="en-GB"/>
          </w:rPr>
          <w:t>e-voice.org.uk/</w:t>
        </w:r>
        <w:proofErr w:type="spellStart"/>
        <w:r w:rsidRPr="00646E57">
          <w:rPr>
            <w:rFonts w:ascii="Georgia" w:eastAsia="Times New Roman" w:hAnsi="Georgia" w:cs="Times New Roman"/>
            <w:color w:val="0000FF"/>
            <w:u w:val="single"/>
            <w:lang w:eastAsia="en-GB"/>
          </w:rPr>
          <w:t>badburypark</w:t>
        </w:r>
        <w:proofErr w:type="spellEnd"/>
      </w:hyperlink>
    </w:p>
    <w:p w14:paraId="5F0A408F" w14:textId="77777777" w:rsidR="00646E57" w:rsidRPr="00646E57" w:rsidRDefault="00646E57" w:rsidP="00646E57">
      <w:p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Ahead of the Remus Open Surgery, residents have raised a number of questions. This sheet summarises the main themes and concerns currently affecting the estate to guide discussions during the meeting.</w:t>
      </w:r>
    </w:p>
    <w:p w14:paraId="001E6369" w14:textId="77777777" w:rsidR="00646E57" w:rsidRPr="00646E57" w:rsidRDefault="00646E57" w:rsidP="00646E57">
      <w:pPr>
        <w:spacing w:before="100" w:beforeAutospacing="1" w:after="100" w:afterAutospacing="1"/>
        <w:outlineLvl w:val="1"/>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Key Estate Issues – Questions for Remus and Developers</w:t>
      </w:r>
    </w:p>
    <w:p w14:paraId="28D85490" w14:textId="77777777" w:rsidR="00646E57" w:rsidRPr="00646E57" w:rsidRDefault="00646E57" w:rsidP="00646E57">
      <w:pPr>
        <w:spacing w:before="100" w:beforeAutospacing="1" w:after="100" w:afterAutospacing="1"/>
        <w:outlineLvl w:val="2"/>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1. Developers’ Completion Standards</w:t>
      </w:r>
    </w:p>
    <w:p w14:paraId="0E30F29B" w14:textId="77777777" w:rsidR="00646E57" w:rsidRPr="00646E57" w:rsidRDefault="00646E57" w:rsidP="00646E57">
      <w:p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Residents are concerned that the developers have not completed the development to a responsible standard under </w:t>
      </w:r>
      <w:r w:rsidRPr="00646E57">
        <w:rPr>
          <w:rFonts w:ascii="Georgia" w:eastAsia="Times New Roman" w:hAnsi="Georgia" w:cs="Times New Roman"/>
          <w:b/>
          <w:bCs/>
          <w:color w:val="000000"/>
          <w:lang w:eastAsia="en-GB"/>
        </w:rPr>
        <w:t>Clause 7 of the Clarke Willmott Management Agreement</w:t>
      </w:r>
      <w:r w:rsidRPr="00646E57">
        <w:rPr>
          <w:rFonts w:ascii="Georgia" w:eastAsia="Times New Roman" w:hAnsi="Georgia" w:cs="Times New Roman"/>
          <w:color w:val="000000"/>
          <w:lang w:eastAsia="en-GB"/>
        </w:rPr>
        <w:t>.</w:t>
      </w:r>
    </w:p>
    <w:p w14:paraId="06D7E174" w14:textId="77777777" w:rsidR="00646E57" w:rsidRPr="00646E57" w:rsidRDefault="00646E57" w:rsidP="00646E57">
      <w:p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b/>
          <w:bCs/>
          <w:color w:val="000000"/>
          <w:lang w:eastAsia="en-GB"/>
        </w:rPr>
        <w:t>History:</w:t>
      </w:r>
    </w:p>
    <w:p w14:paraId="22F0DB03" w14:textId="77777777" w:rsidR="00646E57" w:rsidRPr="00646E57" w:rsidRDefault="00646E57" w:rsidP="00646E57">
      <w:pPr>
        <w:numPr>
          <w:ilvl w:val="0"/>
          <w:numId w:val="1"/>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In 2022, Remus prepared a full snagging report identifying matters still to be resolved by the developers.</w:t>
      </w:r>
    </w:p>
    <w:p w14:paraId="0D0EBA97" w14:textId="77777777" w:rsidR="00646E57" w:rsidRPr="00646E57" w:rsidRDefault="00646E57" w:rsidP="00646E57">
      <w:pPr>
        <w:numPr>
          <w:ilvl w:val="0"/>
          <w:numId w:val="1"/>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Issues identified:</w:t>
      </w:r>
    </w:p>
    <w:p w14:paraId="0918E4B0" w14:textId="77777777" w:rsidR="00646E57" w:rsidRPr="00646E57" w:rsidRDefault="00646E57" w:rsidP="00646E57">
      <w:pPr>
        <w:numPr>
          <w:ilvl w:val="1"/>
          <w:numId w:val="1"/>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Developers did not make a copy of the snagging report available to residents.</w:t>
      </w:r>
    </w:p>
    <w:p w14:paraId="1B09DF66" w14:textId="77777777" w:rsidR="00646E57" w:rsidRPr="00646E57" w:rsidRDefault="00646E57" w:rsidP="00646E57">
      <w:pPr>
        <w:numPr>
          <w:ilvl w:val="1"/>
          <w:numId w:val="1"/>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Residents have not been informed of actions taken to resolve the issues.</w:t>
      </w:r>
    </w:p>
    <w:p w14:paraId="64CC0D04" w14:textId="77777777" w:rsidR="00646E57" w:rsidRPr="00646E57" w:rsidRDefault="00646E57" w:rsidP="00646E57">
      <w:pPr>
        <w:numPr>
          <w:ilvl w:val="1"/>
          <w:numId w:val="1"/>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Management accounts do not clearly identify charges attributable to the developers.</w:t>
      </w:r>
    </w:p>
    <w:p w14:paraId="6DA20AF9" w14:textId="77777777" w:rsidR="00646E57" w:rsidRPr="00646E57" w:rsidRDefault="00646E57" w:rsidP="00646E57">
      <w:pPr>
        <w:spacing w:before="100" w:beforeAutospacing="1" w:after="100" w:afterAutospacing="1"/>
        <w:outlineLvl w:val="2"/>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2. Sustainable Drainage Systems (SuDS) – Phases 1, 2, and 3</w:t>
      </w:r>
    </w:p>
    <w:p w14:paraId="7C8BDDC1" w14:textId="77777777" w:rsidR="00646E57" w:rsidRPr="00646E57" w:rsidRDefault="00646E57" w:rsidP="00646E57">
      <w:p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Residents seek clarification regarding SuDS infrastructure:</w:t>
      </w:r>
    </w:p>
    <w:p w14:paraId="1CC72A14" w14:textId="77777777" w:rsidR="00646E57" w:rsidRPr="00646E57" w:rsidRDefault="00646E57" w:rsidP="00646E57">
      <w:pPr>
        <w:numPr>
          <w:ilvl w:val="0"/>
          <w:numId w:val="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Legal responsibility for long-term maintenance of Phases 1 and 2.</w:t>
      </w:r>
    </w:p>
    <w:p w14:paraId="1FA60993" w14:textId="77777777" w:rsidR="00646E57" w:rsidRPr="00646E57" w:rsidRDefault="00646E57" w:rsidP="00646E57">
      <w:pPr>
        <w:numPr>
          <w:ilvl w:val="0"/>
          <w:numId w:val="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Formal sign-off under the Section 106 planning agreement.</w:t>
      </w:r>
    </w:p>
    <w:p w14:paraId="3FCA0ABE" w14:textId="77777777" w:rsidR="00646E57" w:rsidRPr="00646E57" w:rsidRDefault="00646E57" w:rsidP="00646E57">
      <w:pPr>
        <w:numPr>
          <w:ilvl w:val="0"/>
          <w:numId w:val="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Provision of SuDS maintenance strategy (CIRIA SuDS Manual C753) to Swindon Borough Council.</w:t>
      </w:r>
    </w:p>
    <w:p w14:paraId="450AF9A8" w14:textId="77777777" w:rsidR="00646E57" w:rsidRPr="00646E57" w:rsidRDefault="00646E57" w:rsidP="00646E57">
      <w:pPr>
        <w:numPr>
          <w:ilvl w:val="0"/>
          <w:numId w:val="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Safety concerns: steep banks, inconsistent signage, limited life-saving equipment.</w:t>
      </w:r>
    </w:p>
    <w:p w14:paraId="51188BAE" w14:textId="77777777" w:rsidR="00646E57" w:rsidRPr="00646E57" w:rsidRDefault="00646E57" w:rsidP="00646E57">
      <w:pPr>
        <w:numPr>
          <w:ilvl w:val="0"/>
          <w:numId w:val="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Costs: yearly and five-year maintenance for existing SuDS, and for Phase 3.</w:t>
      </w:r>
    </w:p>
    <w:p w14:paraId="35B37066" w14:textId="77777777" w:rsidR="00646E57" w:rsidRPr="00646E57" w:rsidRDefault="00646E57" w:rsidP="00646E57">
      <w:pPr>
        <w:numPr>
          <w:ilvl w:val="0"/>
          <w:numId w:val="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Responsibility for blocked Dorcan streams/brooks caused by overgrown trees.</w:t>
      </w:r>
    </w:p>
    <w:p w14:paraId="5120F9BD" w14:textId="77777777" w:rsidR="00646E57" w:rsidRPr="00646E57" w:rsidRDefault="00646E57" w:rsidP="00646E57">
      <w:pPr>
        <w:spacing w:before="100" w:beforeAutospacing="1" w:after="100" w:afterAutospacing="1"/>
        <w:outlineLvl w:val="2"/>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lastRenderedPageBreak/>
        <w:t>3. Sound Barrier Along the A419 (Junction 15)</w:t>
      </w:r>
    </w:p>
    <w:p w14:paraId="7919AB9D" w14:textId="77777777" w:rsidR="00646E57" w:rsidRPr="00646E57" w:rsidRDefault="00646E57" w:rsidP="00646E57">
      <w:pPr>
        <w:numPr>
          <w:ilvl w:val="0"/>
          <w:numId w:val="3"/>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Ownership and maintenance of sound barriers in Phases 1 and 2.</w:t>
      </w:r>
    </w:p>
    <w:p w14:paraId="68D98BB6" w14:textId="038F61C4" w:rsidR="00646E57" w:rsidRPr="00646E57" w:rsidRDefault="00646E57" w:rsidP="00646E57">
      <w:pPr>
        <w:numPr>
          <w:ilvl w:val="0"/>
          <w:numId w:val="3"/>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Clarification </w:t>
      </w:r>
      <w:r w:rsidR="00D409CF">
        <w:rPr>
          <w:rFonts w:ascii="Georgia" w:eastAsia="Times New Roman" w:hAnsi="Georgia" w:cs="Times New Roman"/>
          <w:color w:val="000000"/>
          <w:lang w:eastAsia="en-GB"/>
        </w:rPr>
        <w:t>on whether</w:t>
      </w:r>
      <w:r w:rsidRPr="00646E57">
        <w:rPr>
          <w:rFonts w:ascii="Georgia" w:eastAsia="Times New Roman" w:hAnsi="Georgia" w:cs="Times New Roman"/>
          <w:color w:val="000000"/>
          <w:lang w:eastAsia="en-GB"/>
        </w:rPr>
        <w:t xml:space="preserve"> the barrier was installed as part of </w:t>
      </w:r>
      <w:r w:rsidR="00D409CF">
        <w:rPr>
          <w:rFonts w:ascii="Georgia" w:eastAsia="Times New Roman" w:hAnsi="Georgia" w:cs="Times New Roman"/>
          <w:color w:val="000000"/>
          <w:lang w:eastAsia="en-GB"/>
        </w:rPr>
        <w:t xml:space="preserve">the </w:t>
      </w:r>
      <w:r w:rsidRPr="00646E57">
        <w:rPr>
          <w:rFonts w:ascii="Georgia" w:eastAsia="Times New Roman" w:hAnsi="Georgia" w:cs="Times New Roman"/>
          <w:color w:val="000000"/>
          <w:lang w:eastAsia="en-GB"/>
        </w:rPr>
        <w:t>planning approval and required noise mitigation.</w:t>
      </w:r>
    </w:p>
    <w:p w14:paraId="139A8E59" w14:textId="77777777" w:rsidR="00646E57" w:rsidRPr="00646E57" w:rsidRDefault="00646E57" w:rsidP="00646E57">
      <w:pPr>
        <w:spacing w:before="100" w:beforeAutospacing="1" w:after="100" w:afterAutospacing="1"/>
        <w:outlineLvl w:val="2"/>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4. Estate Charges and Financial Transparency</w:t>
      </w:r>
    </w:p>
    <w:p w14:paraId="2B53A4E8" w14:textId="77777777" w:rsidR="00646E57" w:rsidRPr="00646E57" w:rsidRDefault="00646E57" w:rsidP="00646E57">
      <w:pPr>
        <w:numPr>
          <w:ilvl w:val="0"/>
          <w:numId w:val="4"/>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Clear breakdown of estate management fees.</w:t>
      </w:r>
    </w:p>
    <w:p w14:paraId="42EA1114" w14:textId="77777777" w:rsidR="00646E57" w:rsidRPr="00646E57" w:rsidRDefault="00646E57" w:rsidP="00646E57">
      <w:pPr>
        <w:numPr>
          <w:ilvl w:val="0"/>
          <w:numId w:val="4"/>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Clarification of professional fees, bank charges, insurance, and general repairs.</w:t>
      </w:r>
    </w:p>
    <w:p w14:paraId="289DF9F8" w14:textId="77777777" w:rsidR="00646E57" w:rsidRPr="00646E57" w:rsidRDefault="00646E57" w:rsidP="00646E57">
      <w:pPr>
        <w:numPr>
          <w:ilvl w:val="0"/>
          <w:numId w:val="4"/>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Differences in charges between Liddington and South Swindon Parish Council areas.</w:t>
      </w:r>
    </w:p>
    <w:p w14:paraId="4F8B606E" w14:textId="16100385" w:rsidR="00646E57" w:rsidRPr="00646E57" w:rsidRDefault="00646E57" w:rsidP="00646E57">
      <w:pPr>
        <w:numPr>
          <w:ilvl w:val="0"/>
          <w:numId w:val="4"/>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Responses to errors in </w:t>
      </w:r>
      <w:r w:rsidR="00D409CF">
        <w:rPr>
          <w:rFonts w:ascii="Georgia" w:eastAsia="Times New Roman" w:hAnsi="Georgia" w:cs="Times New Roman"/>
          <w:color w:val="000000"/>
          <w:lang w:eastAsia="en-GB"/>
        </w:rPr>
        <w:t xml:space="preserve">the </w:t>
      </w:r>
      <w:r w:rsidRPr="00646E57">
        <w:rPr>
          <w:rFonts w:ascii="Georgia" w:eastAsia="Times New Roman" w:hAnsi="Georgia" w:cs="Times New Roman"/>
          <w:color w:val="000000"/>
          <w:lang w:eastAsia="en-GB"/>
        </w:rPr>
        <w:t>2022 and 2023 accounts.</w:t>
      </w:r>
    </w:p>
    <w:p w14:paraId="30FF44C9" w14:textId="77777777" w:rsidR="00646E57" w:rsidRPr="00646E57" w:rsidRDefault="00646E57" w:rsidP="00646E57">
      <w:pPr>
        <w:numPr>
          <w:ilvl w:val="0"/>
          <w:numId w:val="4"/>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Publication of final accounts for 2024 and 2025.</w:t>
      </w:r>
    </w:p>
    <w:p w14:paraId="04E3DDF8" w14:textId="77777777" w:rsidR="00646E57" w:rsidRPr="00646E57" w:rsidRDefault="00646E57" w:rsidP="00646E57">
      <w:pPr>
        <w:spacing w:before="100" w:beforeAutospacing="1" w:after="100" w:afterAutospacing="1"/>
        <w:outlineLvl w:val="2"/>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5. Play Areas and Public Open Spaces</w:t>
      </w:r>
    </w:p>
    <w:p w14:paraId="34C71929" w14:textId="77777777" w:rsidR="00646E57" w:rsidRPr="00646E57" w:rsidRDefault="00646E57" w:rsidP="00646E57">
      <w:pPr>
        <w:numPr>
          <w:ilvl w:val="0"/>
          <w:numId w:val="5"/>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Play Area No.1 near the school had equipment removed for safety reasons.</w:t>
      </w:r>
    </w:p>
    <w:p w14:paraId="551CF7DC" w14:textId="77777777" w:rsidR="00646E57" w:rsidRPr="00646E57" w:rsidRDefault="00646E57" w:rsidP="00646E57">
      <w:pPr>
        <w:numPr>
          <w:ilvl w:val="0"/>
          <w:numId w:val="5"/>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Funding for replacement equipment and improvements.</w:t>
      </w:r>
    </w:p>
    <w:p w14:paraId="535D9514" w14:textId="77777777" w:rsidR="00646E57" w:rsidRPr="00646E57" w:rsidRDefault="00646E57" w:rsidP="00646E57">
      <w:pPr>
        <w:numPr>
          <w:ilvl w:val="0"/>
          <w:numId w:val="5"/>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Demand for suitable equipment for children aged 5–8.</w:t>
      </w:r>
    </w:p>
    <w:p w14:paraId="482CF828" w14:textId="77777777" w:rsidR="00646E57" w:rsidRPr="00646E57" w:rsidRDefault="00646E57" w:rsidP="00646E57">
      <w:pPr>
        <w:numPr>
          <w:ilvl w:val="0"/>
          <w:numId w:val="5"/>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Ground conditions, mud, and safety surfacing concerns.</w:t>
      </w:r>
    </w:p>
    <w:p w14:paraId="23C919EB" w14:textId="77777777" w:rsidR="00646E57" w:rsidRPr="00646E57" w:rsidRDefault="00646E57" w:rsidP="00646E57">
      <w:pPr>
        <w:spacing w:before="100" w:beforeAutospacing="1" w:after="100" w:afterAutospacing="1"/>
        <w:outlineLvl w:val="2"/>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6. Roads, Infrastructure, and Adoption</w:t>
      </w:r>
    </w:p>
    <w:p w14:paraId="74F410DB" w14:textId="35E17664" w:rsidR="00646E57" w:rsidRPr="00646E57" w:rsidRDefault="00646E57" w:rsidP="00646E57">
      <w:pPr>
        <w:numPr>
          <w:ilvl w:val="0"/>
          <w:numId w:val="6"/>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Roads not yet adopted by </w:t>
      </w:r>
      <w:r w:rsidR="00D409CF">
        <w:rPr>
          <w:rFonts w:ascii="Georgia" w:eastAsia="Times New Roman" w:hAnsi="Georgia" w:cs="Times New Roman"/>
          <w:color w:val="000000"/>
          <w:lang w:eastAsia="en-GB"/>
        </w:rPr>
        <w:t xml:space="preserve">the </w:t>
      </w:r>
      <w:r w:rsidRPr="00646E57">
        <w:rPr>
          <w:rFonts w:ascii="Georgia" w:eastAsia="Times New Roman" w:hAnsi="Georgia" w:cs="Times New Roman"/>
          <w:color w:val="000000"/>
          <w:lang w:eastAsia="en-GB"/>
        </w:rPr>
        <w:t>Swindon Borough Council Highways.</w:t>
      </w:r>
    </w:p>
    <w:p w14:paraId="52378A88" w14:textId="77777777" w:rsidR="00646E57" w:rsidRPr="00646E57" w:rsidRDefault="00646E57" w:rsidP="00646E57">
      <w:pPr>
        <w:numPr>
          <w:ilvl w:val="0"/>
          <w:numId w:val="6"/>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Completion of road surfacing on </w:t>
      </w:r>
      <w:proofErr w:type="spellStart"/>
      <w:r w:rsidRPr="00646E57">
        <w:rPr>
          <w:rFonts w:ascii="Georgia" w:eastAsia="Times New Roman" w:hAnsi="Georgia" w:cs="Times New Roman"/>
          <w:color w:val="000000"/>
          <w:lang w:eastAsia="en-GB"/>
        </w:rPr>
        <w:t>Rainscombe</w:t>
      </w:r>
      <w:proofErr w:type="spellEnd"/>
      <w:r w:rsidRPr="00646E57">
        <w:rPr>
          <w:rFonts w:ascii="Georgia" w:eastAsia="Times New Roman" w:hAnsi="Georgia" w:cs="Times New Roman"/>
          <w:color w:val="000000"/>
          <w:lang w:eastAsia="en-GB"/>
        </w:rPr>
        <w:t xml:space="preserve"> Road, Homington Avenue, and </w:t>
      </w:r>
      <w:proofErr w:type="spellStart"/>
      <w:r w:rsidRPr="00646E57">
        <w:rPr>
          <w:rFonts w:ascii="Georgia" w:eastAsia="Times New Roman" w:hAnsi="Georgia" w:cs="Times New Roman"/>
          <w:color w:val="000000"/>
          <w:lang w:eastAsia="en-GB"/>
        </w:rPr>
        <w:t>Salthorp</w:t>
      </w:r>
      <w:proofErr w:type="spellEnd"/>
      <w:r w:rsidRPr="00646E57">
        <w:rPr>
          <w:rFonts w:ascii="Georgia" w:eastAsia="Times New Roman" w:hAnsi="Georgia" w:cs="Times New Roman"/>
          <w:color w:val="000000"/>
          <w:lang w:eastAsia="en-GB"/>
        </w:rPr>
        <w:t xml:space="preserve"> Rise.</w:t>
      </w:r>
    </w:p>
    <w:p w14:paraId="37CA6FAE" w14:textId="0D754F8A" w:rsidR="00646E57" w:rsidRPr="00646E57" w:rsidRDefault="00646E57" w:rsidP="00646E57">
      <w:pPr>
        <w:numPr>
          <w:ilvl w:val="0"/>
          <w:numId w:val="6"/>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Repairs for kerbs and infrastructure before </w:t>
      </w:r>
      <w:r w:rsidR="00D409CF">
        <w:rPr>
          <w:rFonts w:ascii="Georgia" w:eastAsia="Times New Roman" w:hAnsi="Georgia" w:cs="Times New Roman"/>
          <w:color w:val="000000"/>
          <w:lang w:eastAsia="en-GB"/>
        </w:rPr>
        <w:t xml:space="preserve">the </w:t>
      </w:r>
      <w:r w:rsidRPr="00646E57">
        <w:rPr>
          <w:rFonts w:ascii="Georgia" w:eastAsia="Times New Roman" w:hAnsi="Georgia" w:cs="Times New Roman"/>
          <w:color w:val="000000"/>
          <w:lang w:eastAsia="en-GB"/>
        </w:rPr>
        <w:t>adoption of roads like Axford Close.</w:t>
      </w:r>
    </w:p>
    <w:p w14:paraId="6C2B2BBE" w14:textId="0A4FDE3F" w:rsidR="00646E57" w:rsidRPr="00646E57" w:rsidRDefault="00646E57" w:rsidP="00646E57">
      <w:pPr>
        <w:numPr>
          <w:ilvl w:val="0"/>
          <w:numId w:val="6"/>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Cracks, ridges, subsidence, and removal of </w:t>
      </w:r>
      <w:r w:rsidR="00D409CF">
        <w:rPr>
          <w:rFonts w:ascii="Georgia" w:eastAsia="Times New Roman" w:hAnsi="Georgia" w:cs="Times New Roman"/>
          <w:color w:val="000000"/>
          <w:lang w:eastAsia="en-GB"/>
        </w:rPr>
        <w:t xml:space="preserve">the </w:t>
      </w:r>
      <w:r w:rsidRPr="00646E57">
        <w:rPr>
          <w:rFonts w:ascii="Georgia" w:eastAsia="Times New Roman" w:hAnsi="Georgia" w:cs="Times New Roman"/>
          <w:color w:val="000000"/>
          <w:lang w:eastAsia="en-GB"/>
        </w:rPr>
        <w:t>Safe School Zone.</w:t>
      </w:r>
    </w:p>
    <w:p w14:paraId="003C57CA" w14:textId="77777777" w:rsidR="00646E57" w:rsidRPr="00646E57" w:rsidRDefault="00646E57" w:rsidP="00646E57">
      <w:pPr>
        <w:spacing w:before="100" w:beforeAutospacing="1" w:after="100" w:afterAutospacing="1"/>
        <w:outlineLvl w:val="2"/>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7. Landscaping and Estate Maintenance</w:t>
      </w:r>
    </w:p>
    <w:p w14:paraId="26009CC7" w14:textId="77777777" w:rsidR="00646E57" w:rsidRPr="00646E57" w:rsidRDefault="00646E57" w:rsidP="00646E57">
      <w:pPr>
        <w:numPr>
          <w:ilvl w:val="0"/>
          <w:numId w:val="7"/>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Standard and frequency of landscaping works.</w:t>
      </w:r>
    </w:p>
    <w:p w14:paraId="008B4136" w14:textId="77777777" w:rsidR="00646E57" w:rsidRPr="00646E57" w:rsidRDefault="00646E57" w:rsidP="00646E57">
      <w:pPr>
        <w:numPr>
          <w:ilvl w:val="0"/>
          <w:numId w:val="7"/>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Removal of litter picking from contracts.</w:t>
      </w:r>
    </w:p>
    <w:p w14:paraId="795157FB" w14:textId="77777777" w:rsidR="00646E57" w:rsidRPr="00646E57" w:rsidRDefault="00646E57" w:rsidP="00646E57">
      <w:pPr>
        <w:numPr>
          <w:ilvl w:val="0"/>
          <w:numId w:val="7"/>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Maintenance of shrubs, hedges, and vegetation.</w:t>
      </w:r>
    </w:p>
    <w:p w14:paraId="40A92E32" w14:textId="77777777" w:rsidR="00646E57" w:rsidRPr="00646E57" w:rsidRDefault="00646E57" w:rsidP="00646E57">
      <w:pPr>
        <w:numPr>
          <w:ilvl w:val="0"/>
          <w:numId w:val="7"/>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Responsibility for grass verges.</w:t>
      </w:r>
    </w:p>
    <w:p w14:paraId="355E1CB1" w14:textId="77777777" w:rsidR="00646E57" w:rsidRPr="00646E57" w:rsidRDefault="00646E57" w:rsidP="00646E57">
      <w:pPr>
        <w:numPr>
          <w:ilvl w:val="0"/>
          <w:numId w:val="7"/>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Annual tree safety inspections and replacement of dead or failing trees.</w:t>
      </w:r>
    </w:p>
    <w:p w14:paraId="12AC5B3B" w14:textId="77777777" w:rsidR="00646E57" w:rsidRPr="00646E57" w:rsidRDefault="00646E57" w:rsidP="00646E57">
      <w:pPr>
        <w:spacing w:before="100" w:beforeAutospacing="1" w:after="100" w:afterAutospacing="1"/>
        <w:outlineLvl w:val="2"/>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8. Walking Routes, Accessibility, and Safety</w:t>
      </w:r>
    </w:p>
    <w:p w14:paraId="7934B16F" w14:textId="77777777" w:rsidR="00646E57" w:rsidRPr="00646E57" w:rsidRDefault="00646E57" w:rsidP="00646E57">
      <w:pPr>
        <w:numPr>
          <w:ilvl w:val="0"/>
          <w:numId w:val="8"/>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Bark path between Biddestone Avenue and the school floods frequently.</w:t>
      </w:r>
    </w:p>
    <w:p w14:paraId="7587E8B5" w14:textId="77777777" w:rsidR="00646E57" w:rsidRPr="00646E57" w:rsidRDefault="00646E57" w:rsidP="00646E57">
      <w:pPr>
        <w:numPr>
          <w:ilvl w:val="0"/>
          <w:numId w:val="8"/>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Proposed all-weather path for safe school access.</w:t>
      </w:r>
    </w:p>
    <w:p w14:paraId="79F74B7B" w14:textId="77777777" w:rsidR="00646E57" w:rsidRPr="00646E57" w:rsidRDefault="00646E57" w:rsidP="00646E57">
      <w:pPr>
        <w:numPr>
          <w:ilvl w:val="0"/>
          <w:numId w:val="8"/>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Lack of safe crossings on Homington Avenue.</w:t>
      </w:r>
    </w:p>
    <w:p w14:paraId="1F17A4E6" w14:textId="77777777" w:rsidR="00646E57" w:rsidRPr="00646E57" w:rsidRDefault="00646E57" w:rsidP="00646E57">
      <w:pPr>
        <w:numPr>
          <w:ilvl w:val="0"/>
          <w:numId w:val="8"/>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Requests for traffic calming or speed restrictions.</w:t>
      </w:r>
    </w:p>
    <w:p w14:paraId="063F06E5" w14:textId="622E4FF9" w:rsidR="00D409CF" w:rsidRDefault="00646E57" w:rsidP="00646E57">
      <w:pPr>
        <w:spacing w:before="100" w:beforeAutospacing="1" w:after="100" w:afterAutospacing="1"/>
        <w:outlineLvl w:val="2"/>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 xml:space="preserve">9. </w:t>
      </w:r>
      <w:r w:rsidR="00D409CF">
        <w:rPr>
          <w:rFonts w:ascii="Georgia" w:eastAsia="Times New Roman" w:hAnsi="Georgia" w:cs="Times New Roman"/>
          <w:b/>
          <w:bCs/>
          <w:color w:val="000000"/>
          <w:lang w:eastAsia="en-GB"/>
        </w:rPr>
        <w:t xml:space="preserve"> Failure of Remus Ac</w:t>
      </w:r>
      <w:r w:rsidR="00DB13AA">
        <w:rPr>
          <w:rFonts w:ascii="Georgia" w:eastAsia="Times New Roman" w:hAnsi="Georgia" w:cs="Times New Roman"/>
          <w:b/>
          <w:bCs/>
          <w:color w:val="000000"/>
          <w:lang w:eastAsia="en-GB"/>
        </w:rPr>
        <w:t>c</w:t>
      </w:r>
      <w:r w:rsidR="00D409CF">
        <w:rPr>
          <w:rFonts w:ascii="Georgia" w:eastAsia="Times New Roman" w:hAnsi="Georgia" w:cs="Times New Roman"/>
          <w:b/>
          <w:bCs/>
          <w:color w:val="000000"/>
          <w:lang w:eastAsia="en-GB"/>
        </w:rPr>
        <w:t xml:space="preserve">ounts to respond to our </w:t>
      </w:r>
      <w:r w:rsidR="00DB13AA">
        <w:rPr>
          <w:rFonts w:ascii="Georgia" w:eastAsia="Times New Roman" w:hAnsi="Georgia" w:cs="Times New Roman"/>
          <w:b/>
          <w:bCs/>
          <w:color w:val="000000"/>
          <w:lang w:eastAsia="en-GB"/>
        </w:rPr>
        <w:t xml:space="preserve">correspondence </w:t>
      </w:r>
    </w:p>
    <w:p w14:paraId="352AE819" w14:textId="68056A0C" w:rsidR="00646E57" w:rsidRPr="00646E57" w:rsidRDefault="00DB13AA" w:rsidP="00646E57">
      <w:pPr>
        <w:spacing w:before="100" w:beforeAutospacing="1" w:after="100" w:afterAutospacing="1"/>
        <w:outlineLvl w:val="2"/>
        <w:rPr>
          <w:rFonts w:ascii="Georgia" w:eastAsia="Times New Roman" w:hAnsi="Georgia" w:cs="Times New Roman"/>
          <w:b/>
          <w:bCs/>
          <w:color w:val="000000"/>
          <w:lang w:eastAsia="en-GB"/>
        </w:rPr>
      </w:pPr>
      <w:r>
        <w:rPr>
          <w:rFonts w:ascii="Georgia" w:eastAsia="Times New Roman" w:hAnsi="Georgia" w:cs="Times New Roman"/>
          <w:b/>
          <w:bCs/>
          <w:color w:val="000000"/>
          <w:lang w:eastAsia="en-GB"/>
        </w:rPr>
        <w:t xml:space="preserve">10. </w:t>
      </w:r>
      <w:r w:rsidR="00646E57" w:rsidRPr="00646E57">
        <w:rPr>
          <w:rFonts w:ascii="Georgia" w:eastAsia="Times New Roman" w:hAnsi="Georgia" w:cs="Times New Roman"/>
          <w:b/>
          <w:bCs/>
          <w:color w:val="000000"/>
          <w:lang w:eastAsia="en-GB"/>
        </w:rPr>
        <w:t>Other Resident Concerns</w:t>
      </w:r>
    </w:p>
    <w:p w14:paraId="4A16CA98" w14:textId="77777777" w:rsidR="00646E57" w:rsidRPr="00646E57" w:rsidRDefault="00646E57" w:rsidP="00646E57">
      <w:pPr>
        <w:numPr>
          <w:ilvl w:val="0"/>
          <w:numId w:val="9"/>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Parking pressures from hospital visitors/staff.</w:t>
      </w:r>
    </w:p>
    <w:p w14:paraId="6766F5F1" w14:textId="77777777" w:rsidR="00646E57" w:rsidRPr="00646E57" w:rsidRDefault="00646E57" w:rsidP="00646E57">
      <w:pPr>
        <w:numPr>
          <w:ilvl w:val="0"/>
          <w:numId w:val="9"/>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Requests for additional litter bins and review of existing bins.</w:t>
      </w:r>
    </w:p>
    <w:p w14:paraId="73F61EC0" w14:textId="77777777" w:rsidR="00646E57" w:rsidRPr="00646E57" w:rsidRDefault="00646E57" w:rsidP="00646E57">
      <w:pPr>
        <w:numPr>
          <w:ilvl w:val="0"/>
          <w:numId w:val="9"/>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Broken fencing posts and other infrastructure issues.</w:t>
      </w:r>
    </w:p>
    <w:p w14:paraId="4406A3C9" w14:textId="1D653CAC" w:rsidR="00646E57" w:rsidRPr="00646E57" w:rsidRDefault="00646E57" w:rsidP="00646E57">
      <w:pPr>
        <w:numPr>
          <w:ilvl w:val="0"/>
          <w:numId w:val="9"/>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Bus stops </w:t>
      </w:r>
      <w:r w:rsidR="00D409CF">
        <w:rPr>
          <w:rFonts w:ascii="Georgia" w:eastAsia="Times New Roman" w:hAnsi="Georgia" w:cs="Times New Roman"/>
          <w:color w:val="000000"/>
          <w:lang w:eastAsia="en-GB"/>
        </w:rPr>
        <w:t xml:space="preserve">are </w:t>
      </w:r>
      <w:r w:rsidRPr="00646E57">
        <w:rPr>
          <w:rFonts w:ascii="Georgia" w:eastAsia="Times New Roman" w:hAnsi="Georgia" w:cs="Times New Roman"/>
          <w:color w:val="000000"/>
          <w:lang w:eastAsia="en-GB"/>
        </w:rPr>
        <w:t>lacking shelters or hard-standing areas.</w:t>
      </w:r>
    </w:p>
    <w:p w14:paraId="4DC62F69" w14:textId="46C6BF10" w:rsidR="00646E57" w:rsidRPr="00646E57" w:rsidRDefault="00646E57" w:rsidP="00646E57">
      <w:pPr>
        <w:numPr>
          <w:ilvl w:val="0"/>
          <w:numId w:val="9"/>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lastRenderedPageBreak/>
        <w:t xml:space="preserve">Advertising signage on land that may later </w:t>
      </w:r>
      <w:r w:rsidR="00D409CF">
        <w:rPr>
          <w:rFonts w:ascii="Georgia" w:eastAsia="Times New Roman" w:hAnsi="Georgia" w:cs="Times New Roman"/>
          <w:color w:val="000000"/>
          <w:lang w:eastAsia="en-GB"/>
        </w:rPr>
        <w:t>be transferred</w:t>
      </w:r>
      <w:r w:rsidRPr="00646E57">
        <w:rPr>
          <w:rFonts w:ascii="Georgia" w:eastAsia="Times New Roman" w:hAnsi="Georgia" w:cs="Times New Roman"/>
          <w:color w:val="000000"/>
          <w:lang w:eastAsia="en-GB"/>
        </w:rPr>
        <w:t xml:space="preserve"> to the management company.</w:t>
      </w:r>
    </w:p>
    <w:p w14:paraId="47159D5F" w14:textId="77777777" w:rsidR="00646E57" w:rsidRPr="00646E57" w:rsidRDefault="00646E57" w:rsidP="00646E57">
      <w:pPr>
        <w:numPr>
          <w:ilvl w:val="0"/>
          <w:numId w:val="9"/>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Safety concerns near watercourses and steep SuDS slopes.</w:t>
      </w:r>
    </w:p>
    <w:p w14:paraId="23431144" w14:textId="77777777" w:rsidR="00646E57" w:rsidRPr="00646E57" w:rsidRDefault="00646E57" w:rsidP="00646E57">
      <w:pPr>
        <w:numPr>
          <w:ilvl w:val="0"/>
          <w:numId w:val="9"/>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Lack of markings for allocated parking spaces 6 &amp; 7, </w:t>
      </w:r>
      <w:proofErr w:type="spellStart"/>
      <w:r w:rsidRPr="00646E57">
        <w:rPr>
          <w:rFonts w:ascii="Georgia" w:eastAsia="Times New Roman" w:hAnsi="Georgia" w:cs="Times New Roman"/>
          <w:color w:val="000000"/>
          <w:lang w:eastAsia="en-GB"/>
        </w:rPr>
        <w:t>Lucknam</w:t>
      </w:r>
      <w:proofErr w:type="spellEnd"/>
      <w:r w:rsidRPr="00646E57">
        <w:rPr>
          <w:rFonts w:ascii="Georgia" w:eastAsia="Times New Roman" w:hAnsi="Georgia" w:cs="Times New Roman"/>
          <w:color w:val="000000"/>
          <w:lang w:eastAsia="en-GB"/>
        </w:rPr>
        <w:t xml:space="preserve"> Crescent.</w:t>
      </w:r>
    </w:p>
    <w:p w14:paraId="5EFA29AE" w14:textId="77777777" w:rsidR="00646E57" w:rsidRPr="00646E57" w:rsidRDefault="00646E57" w:rsidP="00646E57">
      <w:pPr>
        <w:numPr>
          <w:ilvl w:val="0"/>
          <w:numId w:val="9"/>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Access to RoSPA inspection reports.</w:t>
      </w:r>
    </w:p>
    <w:p w14:paraId="3E1DD918" w14:textId="562E33F8" w:rsidR="00646E57" w:rsidRPr="00646E57" w:rsidRDefault="00646E57" w:rsidP="00646E57">
      <w:pPr>
        <w:numPr>
          <w:ilvl w:val="0"/>
          <w:numId w:val="9"/>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Future appointment of resident directors once </w:t>
      </w:r>
      <w:r w:rsidR="00835ADC">
        <w:rPr>
          <w:rFonts w:ascii="Georgia" w:eastAsia="Times New Roman" w:hAnsi="Georgia" w:cs="Times New Roman"/>
          <w:color w:val="000000"/>
          <w:lang w:eastAsia="en-GB"/>
        </w:rPr>
        <w:t xml:space="preserve">the </w:t>
      </w:r>
      <w:r w:rsidRPr="00646E57">
        <w:rPr>
          <w:rFonts w:ascii="Georgia" w:eastAsia="Times New Roman" w:hAnsi="Georgia" w:cs="Times New Roman"/>
          <w:color w:val="000000"/>
          <w:lang w:eastAsia="en-GB"/>
        </w:rPr>
        <w:t>land is transferred.</w:t>
      </w:r>
    </w:p>
    <w:p w14:paraId="15DFF3CE" w14:textId="77777777" w:rsidR="00646E57" w:rsidRPr="00646E57" w:rsidRDefault="00646E57" w:rsidP="00646E57">
      <w:pPr>
        <w:spacing w:before="100" w:beforeAutospacing="1" w:after="100" w:afterAutospacing="1"/>
        <w:outlineLvl w:val="1"/>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Report into Estate Management Transfer and Compliance Concerns</w:t>
      </w:r>
    </w:p>
    <w:p w14:paraId="4B98F0EA" w14:textId="77777777" w:rsidR="00646E57" w:rsidRPr="00646E57" w:rsidRDefault="00646E57" w:rsidP="00646E57">
      <w:pPr>
        <w:numPr>
          <w:ilvl w:val="0"/>
          <w:numId w:val="10"/>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Developers transferred responsibility for Badbury Park maintenance to Remus in July 2022 under </w:t>
      </w:r>
      <w:r w:rsidRPr="00646E57">
        <w:rPr>
          <w:rFonts w:ascii="Georgia" w:eastAsia="Times New Roman" w:hAnsi="Georgia" w:cs="Times New Roman"/>
          <w:b/>
          <w:bCs/>
          <w:color w:val="000000"/>
          <w:lang w:eastAsia="en-GB"/>
        </w:rPr>
        <w:t>Clause 7 of the Clarke Willmott Management Agreement</w:t>
      </w:r>
      <w:r w:rsidRPr="00646E57">
        <w:rPr>
          <w:rFonts w:ascii="Georgia" w:eastAsia="Times New Roman" w:hAnsi="Georgia" w:cs="Times New Roman"/>
          <w:color w:val="000000"/>
          <w:lang w:eastAsia="en-GB"/>
        </w:rPr>
        <w:t>.</w:t>
      </w:r>
    </w:p>
    <w:p w14:paraId="455F1AFF" w14:textId="77777777" w:rsidR="00646E57" w:rsidRPr="00646E57" w:rsidRDefault="00646E57" w:rsidP="00646E57">
      <w:pPr>
        <w:numPr>
          <w:ilvl w:val="0"/>
          <w:numId w:val="10"/>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Clause 7 requires:</w:t>
      </w:r>
    </w:p>
    <w:p w14:paraId="6C9B883E" w14:textId="4395F7E5" w:rsidR="00646E57" w:rsidRPr="00646E57" w:rsidRDefault="00835ADC" w:rsidP="00646E57">
      <w:pPr>
        <w:numPr>
          <w:ilvl w:val="1"/>
          <w:numId w:val="10"/>
        </w:numPr>
        <w:spacing w:before="100" w:beforeAutospacing="1" w:after="100" w:afterAutospacing="1"/>
        <w:rPr>
          <w:rFonts w:ascii="Georgia" w:eastAsia="Times New Roman" w:hAnsi="Georgia" w:cs="Times New Roman"/>
          <w:color w:val="000000"/>
          <w:lang w:eastAsia="en-GB"/>
        </w:rPr>
      </w:pPr>
      <w:r>
        <w:rPr>
          <w:rFonts w:ascii="Georgia" w:eastAsia="Times New Roman" w:hAnsi="Georgia" w:cs="Times New Roman"/>
          <w:color w:val="000000"/>
          <w:lang w:eastAsia="en-GB"/>
        </w:rPr>
        <w:t>The d</w:t>
      </w:r>
      <w:r w:rsidR="00646E57" w:rsidRPr="00646E57">
        <w:rPr>
          <w:rFonts w:ascii="Georgia" w:eastAsia="Times New Roman" w:hAnsi="Georgia" w:cs="Times New Roman"/>
          <w:color w:val="000000"/>
          <w:lang w:eastAsia="en-GB"/>
        </w:rPr>
        <w:t>eveloper must rectify defects identified before responsibility is assumed.</w:t>
      </w:r>
    </w:p>
    <w:p w14:paraId="25C6AA09" w14:textId="141A1BC9" w:rsidR="00646E57" w:rsidRPr="00646E57" w:rsidRDefault="00646E57" w:rsidP="00646E57">
      <w:pPr>
        <w:numPr>
          <w:ilvl w:val="1"/>
          <w:numId w:val="10"/>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T</w:t>
      </w:r>
      <w:r w:rsidR="00835ADC">
        <w:rPr>
          <w:rFonts w:ascii="Georgia" w:eastAsia="Times New Roman" w:hAnsi="Georgia" w:cs="Times New Roman"/>
          <w:color w:val="000000"/>
          <w:lang w:eastAsia="en-GB"/>
        </w:rPr>
        <w:t>he t</w:t>
      </w:r>
      <w:r w:rsidRPr="00646E57">
        <w:rPr>
          <w:rFonts w:ascii="Georgia" w:eastAsia="Times New Roman" w:hAnsi="Georgia" w:cs="Times New Roman"/>
          <w:color w:val="000000"/>
          <w:lang w:eastAsia="en-GB"/>
        </w:rPr>
        <w:t>ransfer date must be agreed in writing.</w:t>
      </w:r>
    </w:p>
    <w:p w14:paraId="5175EA51" w14:textId="7D987A56" w:rsidR="00646E57" w:rsidRPr="00646E57" w:rsidRDefault="00835ADC" w:rsidP="00646E57">
      <w:pPr>
        <w:numPr>
          <w:ilvl w:val="1"/>
          <w:numId w:val="10"/>
        </w:numPr>
        <w:spacing w:before="100" w:beforeAutospacing="1" w:after="100" w:afterAutospacing="1"/>
        <w:rPr>
          <w:rFonts w:ascii="Georgia" w:eastAsia="Times New Roman" w:hAnsi="Georgia" w:cs="Times New Roman"/>
          <w:color w:val="000000"/>
          <w:lang w:eastAsia="en-GB"/>
        </w:rPr>
      </w:pPr>
      <w:r>
        <w:rPr>
          <w:rFonts w:ascii="Georgia" w:eastAsia="Times New Roman" w:hAnsi="Georgia" w:cs="Times New Roman"/>
          <w:color w:val="000000"/>
          <w:lang w:eastAsia="en-GB"/>
        </w:rPr>
        <w:t>The e</w:t>
      </w:r>
      <w:r w:rsidR="00646E57" w:rsidRPr="00646E57">
        <w:rPr>
          <w:rFonts w:ascii="Georgia" w:eastAsia="Times New Roman" w:hAnsi="Georgia" w:cs="Times New Roman"/>
          <w:color w:val="000000"/>
          <w:lang w:eastAsia="en-GB"/>
        </w:rPr>
        <w:t>state must be in a suitable condition without imposing costs on residents for developer defects.</w:t>
      </w:r>
    </w:p>
    <w:p w14:paraId="33AB1778" w14:textId="77777777" w:rsidR="00646E57" w:rsidRPr="00646E57" w:rsidRDefault="00646E57" w:rsidP="00646E57">
      <w:pPr>
        <w:numPr>
          <w:ilvl w:val="0"/>
          <w:numId w:val="10"/>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Clause 12 allows disputes to be referred to RICS arbitration.</w:t>
      </w:r>
    </w:p>
    <w:p w14:paraId="45B01B9A" w14:textId="77777777" w:rsidR="00646E57" w:rsidRPr="00646E57" w:rsidRDefault="00646E57" w:rsidP="00646E57">
      <w:p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b/>
          <w:bCs/>
          <w:color w:val="000000"/>
          <w:lang w:eastAsia="en-GB"/>
        </w:rPr>
        <w:t>Resident concerns:</w:t>
      </w:r>
    </w:p>
    <w:p w14:paraId="101FC7F4" w14:textId="77777777" w:rsidR="00646E57" w:rsidRPr="00646E57" w:rsidRDefault="00646E57" w:rsidP="00646E57">
      <w:pPr>
        <w:numPr>
          <w:ilvl w:val="0"/>
          <w:numId w:val="11"/>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Remus may have assumed responsibility before all defects were rectified, possibly breaching Clause 7.</w:t>
      </w:r>
    </w:p>
    <w:p w14:paraId="2E46896C" w14:textId="77777777" w:rsidR="00646E57" w:rsidRPr="00646E57" w:rsidRDefault="00646E57" w:rsidP="00646E57">
      <w:pPr>
        <w:numPr>
          <w:ilvl w:val="0"/>
          <w:numId w:val="11"/>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Developers are normally required to provide: as-built drawings, maintenance specifications, warranties, inspection records, and Section 106 obligations.</w:t>
      </w:r>
    </w:p>
    <w:p w14:paraId="6312CD66" w14:textId="5462EBE8" w:rsidR="00646E57" w:rsidRPr="00646E57" w:rsidRDefault="00646E57" w:rsidP="00646E57">
      <w:pPr>
        <w:numPr>
          <w:ilvl w:val="0"/>
          <w:numId w:val="11"/>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Incomplete obligations could leave </w:t>
      </w:r>
      <w:r w:rsidR="00835ADC">
        <w:rPr>
          <w:rFonts w:ascii="Georgia" w:eastAsia="Times New Roman" w:hAnsi="Georgia" w:cs="Times New Roman"/>
          <w:color w:val="000000"/>
          <w:lang w:eastAsia="en-GB"/>
        </w:rPr>
        <w:t xml:space="preserve">the </w:t>
      </w:r>
      <w:r w:rsidRPr="00646E57">
        <w:rPr>
          <w:rFonts w:ascii="Georgia" w:eastAsia="Times New Roman" w:hAnsi="Georgia" w:cs="Times New Roman"/>
          <w:color w:val="000000"/>
          <w:lang w:eastAsia="en-GB"/>
        </w:rPr>
        <w:t>Management Company and future Property Directors exposed to liabilities.</w:t>
      </w:r>
    </w:p>
    <w:p w14:paraId="406FA7C7" w14:textId="77777777" w:rsidR="00646E57" w:rsidRPr="00646E57" w:rsidRDefault="00646E57" w:rsidP="00646E57">
      <w:pPr>
        <w:spacing w:before="100" w:beforeAutospacing="1" w:after="100" w:afterAutospacing="1"/>
        <w:outlineLvl w:val="1"/>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Request for Evidence of Compliance</w:t>
      </w:r>
    </w:p>
    <w:p w14:paraId="16844826" w14:textId="77777777" w:rsidR="00646E57" w:rsidRPr="00646E57" w:rsidRDefault="00646E57" w:rsidP="00646E57">
      <w:p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Residents request that the Developer and Managing Agent provide evidence confirming compliance with Clause 7 before transfer:</w:t>
      </w:r>
    </w:p>
    <w:p w14:paraId="6BD09EE3" w14:textId="77777777" w:rsidR="00646E57" w:rsidRPr="00646E57" w:rsidRDefault="00646E57" w:rsidP="00646E57">
      <w:pPr>
        <w:numPr>
          <w:ilvl w:val="0"/>
          <w:numId w:val="1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Written confirmation of the agreed transfer date.</w:t>
      </w:r>
    </w:p>
    <w:p w14:paraId="3D6C5670" w14:textId="77777777" w:rsidR="00646E57" w:rsidRPr="00646E57" w:rsidRDefault="00646E57" w:rsidP="00646E57">
      <w:pPr>
        <w:numPr>
          <w:ilvl w:val="0"/>
          <w:numId w:val="1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Copies of joint inspection reports.</w:t>
      </w:r>
    </w:p>
    <w:p w14:paraId="003CD6CA" w14:textId="77777777" w:rsidR="00646E57" w:rsidRPr="00646E57" w:rsidRDefault="00646E57" w:rsidP="00646E57">
      <w:pPr>
        <w:numPr>
          <w:ilvl w:val="0"/>
          <w:numId w:val="1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Schedule of identified defects and rectification actions.</w:t>
      </w:r>
    </w:p>
    <w:p w14:paraId="3908BD87" w14:textId="77777777" w:rsidR="00646E57" w:rsidRPr="00646E57" w:rsidRDefault="00646E57" w:rsidP="00646E57">
      <w:pPr>
        <w:numPr>
          <w:ilvl w:val="0"/>
          <w:numId w:val="1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Confirmation from Remus that defects were rectified before responsibility was assumed.</w:t>
      </w:r>
    </w:p>
    <w:p w14:paraId="1F5BBC16" w14:textId="77777777" w:rsidR="00646E57" w:rsidRPr="00646E57" w:rsidRDefault="00646E57" w:rsidP="00646E57">
      <w:pPr>
        <w:numPr>
          <w:ilvl w:val="0"/>
          <w:numId w:val="1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All relevant as-built drawings, infrastructure records, warranties, manuals, and asset registers.</w:t>
      </w:r>
    </w:p>
    <w:p w14:paraId="1D4B6A44" w14:textId="77777777" w:rsidR="00646E57" w:rsidRPr="00646E57" w:rsidRDefault="00646E57" w:rsidP="00646E57">
      <w:pPr>
        <w:numPr>
          <w:ilvl w:val="0"/>
          <w:numId w:val="12"/>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Confirmation of the status of all planning obligations, including Section 106.</w:t>
      </w:r>
    </w:p>
    <w:p w14:paraId="1E3E6728" w14:textId="77777777" w:rsidR="00646E57" w:rsidRPr="00646E57" w:rsidRDefault="00646E57" w:rsidP="00646E57">
      <w:pPr>
        <w:spacing w:before="100" w:beforeAutospacing="1" w:after="100" w:afterAutospacing="1"/>
        <w:outlineLvl w:val="1"/>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t>Legal Position on Service Charge Liability</w:t>
      </w:r>
    </w:p>
    <w:p w14:paraId="5B083848" w14:textId="77777777" w:rsidR="00646E57" w:rsidRPr="00646E57" w:rsidRDefault="00646E57" w:rsidP="00646E57">
      <w:p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Residents note that under Clause 7, the Managing Agent and Management Company are only responsible for defects </w:t>
      </w:r>
      <w:r w:rsidRPr="00646E57">
        <w:rPr>
          <w:rFonts w:ascii="Georgia" w:eastAsia="Times New Roman" w:hAnsi="Georgia" w:cs="Times New Roman"/>
          <w:b/>
          <w:bCs/>
          <w:color w:val="000000"/>
          <w:lang w:eastAsia="en-GB"/>
        </w:rPr>
        <w:t>once the Developer has completed rectification</w:t>
      </w:r>
      <w:r w:rsidRPr="00646E57">
        <w:rPr>
          <w:rFonts w:ascii="Georgia" w:eastAsia="Times New Roman" w:hAnsi="Georgia" w:cs="Times New Roman"/>
          <w:color w:val="000000"/>
          <w:lang w:eastAsia="en-GB"/>
        </w:rPr>
        <w:t>.</w:t>
      </w:r>
    </w:p>
    <w:p w14:paraId="6563F852" w14:textId="2219C76F" w:rsidR="00646E57" w:rsidRPr="00646E57" w:rsidRDefault="00646E57" w:rsidP="00646E57">
      <w:pPr>
        <w:numPr>
          <w:ilvl w:val="0"/>
          <w:numId w:val="13"/>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 xml:space="preserve">Until evidence confirms all defects and obligations are addressed, residents reserve the right to question </w:t>
      </w:r>
      <w:r w:rsidR="0002081E" w:rsidRPr="0002081E">
        <w:rPr>
          <w:rFonts w:ascii="Georgia" w:eastAsia="Times New Roman" w:hAnsi="Georgia" w:cs="Times New Roman"/>
          <w:color w:val="000000"/>
          <w:lang w:eastAsia="en-GB"/>
        </w:rPr>
        <w:t xml:space="preserve">the </w:t>
      </w:r>
      <w:r w:rsidRPr="00646E57">
        <w:rPr>
          <w:rFonts w:ascii="Georgia" w:eastAsia="Times New Roman" w:hAnsi="Georgia" w:cs="Times New Roman"/>
          <w:color w:val="000000"/>
          <w:lang w:eastAsia="en-GB"/>
        </w:rPr>
        <w:t>inclusion of unresolved developer defects in estate service charges.</w:t>
      </w:r>
    </w:p>
    <w:p w14:paraId="54BAE5B0" w14:textId="518742D1" w:rsidR="00440A70" w:rsidRPr="00DB13AA" w:rsidRDefault="00646E57" w:rsidP="00DB13AA">
      <w:pPr>
        <w:numPr>
          <w:ilvl w:val="0"/>
          <w:numId w:val="13"/>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This ensures future Property Directors and residents understand potential exposure and the need for compliance.</w:t>
      </w:r>
    </w:p>
    <w:p w14:paraId="739205A4" w14:textId="6DC25EC7" w:rsidR="00646E57" w:rsidRPr="00646E57" w:rsidRDefault="00646E57" w:rsidP="00646E57">
      <w:pPr>
        <w:spacing w:before="100" w:beforeAutospacing="1" w:after="100" w:afterAutospacing="1"/>
        <w:outlineLvl w:val="1"/>
        <w:rPr>
          <w:rFonts w:ascii="Georgia" w:eastAsia="Times New Roman" w:hAnsi="Georgia" w:cs="Times New Roman"/>
          <w:b/>
          <w:bCs/>
          <w:color w:val="000000"/>
          <w:lang w:eastAsia="en-GB"/>
        </w:rPr>
      </w:pPr>
      <w:r w:rsidRPr="00646E57">
        <w:rPr>
          <w:rFonts w:ascii="Georgia" w:eastAsia="Times New Roman" w:hAnsi="Georgia" w:cs="Times New Roman"/>
          <w:b/>
          <w:bCs/>
          <w:color w:val="000000"/>
          <w:lang w:eastAsia="en-GB"/>
        </w:rPr>
        <w:lastRenderedPageBreak/>
        <w:t>Key Clarification Questions for the Open Surgery</w:t>
      </w:r>
    </w:p>
    <w:p w14:paraId="43EF69CD" w14:textId="77777777" w:rsidR="00646E57" w:rsidRPr="00646E57" w:rsidRDefault="00646E57" w:rsidP="00646E57">
      <w:pPr>
        <w:numPr>
          <w:ilvl w:val="0"/>
          <w:numId w:val="14"/>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b/>
          <w:bCs/>
          <w:color w:val="000000"/>
          <w:lang w:eastAsia="en-GB"/>
        </w:rPr>
        <w:t>Confirmation of Compliance with Clause 7</w:t>
      </w:r>
    </w:p>
    <w:p w14:paraId="52BAB5AA" w14:textId="77777777" w:rsidR="00646E57" w:rsidRPr="00646E57" w:rsidRDefault="00646E57" w:rsidP="00155CFD">
      <w:pPr>
        <w:numPr>
          <w:ilvl w:val="1"/>
          <w:numId w:val="14"/>
        </w:numPr>
        <w:tabs>
          <w:tab w:val="clear" w:pos="1440"/>
        </w:tabs>
        <w:spacing w:before="100" w:beforeAutospacing="1" w:after="100" w:afterAutospacing="1"/>
        <w:ind w:left="1134" w:hanging="14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Was the estate jointly inspected by the Developer and Managing Agent before transfer?</w:t>
      </w:r>
    </w:p>
    <w:p w14:paraId="5FD80C94" w14:textId="77777777" w:rsidR="00646E57" w:rsidRDefault="00646E57" w:rsidP="00155CFD">
      <w:pPr>
        <w:numPr>
          <w:ilvl w:val="1"/>
          <w:numId w:val="14"/>
        </w:numPr>
        <w:tabs>
          <w:tab w:val="clear" w:pos="1440"/>
          <w:tab w:val="left" w:pos="1134"/>
        </w:tabs>
        <w:ind w:left="1134" w:hanging="14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Were all defects rectified to a reasonable standard in accordance with Clause 7?</w:t>
      </w:r>
    </w:p>
    <w:p w14:paraId="1E69B40F" w14:textId="77777777" w:rsidR="00440A70" w:rsidRPr="00646E57" w:rsidRDefault="00440A70" w:rsidP="00D63F4B">
      <w:pPr>
        <w:rPr>
          <w:rFonts w:ascii="Georgia" w:eastAsia="Times New Roman" w:hAnsi="Georgia" w:cs="Times New Roman"/>
          <w:color w:val="000000"/>
          <w:lang w:eastAsia="en-GB"/>
        </w:rPr>
      </w:pPr>
    </w:p>
    <w:p w14:paraId="7E677117" w14:textId="77777777" w:rsidR="00646E57" w:rsidRPr="00646E57" w:rsidRDefault="00646E57" w:rsidP="00E3407B">
      <w:pPr>
        <w:numPr>
          <w:ilvl w:val="0"/>
          <w:numId w:val="14"/>
        </w:numPr>
        <w:ind w:left="0" w:firstLine="284"/>
        <w:rPr>
          <w:rFonts w:ascii="Georgia" w:eastAsia="Times New Roman" w:hAnsi="Georgia" w:cs="Times New Roman"/>
          <w:color w:val="000000"/>
          <w:lang w:eastAsia="en-GB"/>
        </w:rPr>
      </w:pPr>
      <w:r w:rsidRPr="00646E57">
        <w:rPr>
          <w:rFonts w:ascii="Georgia" w:eastAsia="Times New Roman" w:hAnsi="Georgia" w:cs="Times New Roman"/>
          <w:b/>
          <w:bCs/>
          <w:color w:val="000000"/>
          <w:lang w:eastAsia="en-GB"/>
        </w:rPr>
        <w:t>Availability of Original Snagging and Defects Schedule</w:t>
      </w:r>
    </w:p>
    <w:p w14:paraId="616A6BB3" w14:textId="77777777" w:rsidR="00646E57" w:rsidRPr="00646E57" w:rsidRDefault="00646E57" w:rsidP="00646E57">
      <w:pPr>
        <w:numPr>
          <w:ilvl w:val="1"/>
          <w:numId w:val="14"/>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Does a formal snagging/defects schedule exist from before July 2022?</w:t>
      </w:r>
    </w:p>
    <w:p w14:paraId="4AB2A4E4" w14:textId="77777777" w:rsidR="00646E57" w:rsidRDefault="00646E57" w:rsidP="00155CFD">
      <w:pPr>
        <w:numPr>
          <w:ilvl w:val="1"/>
          <w:numId w:val="14"/>
        </w:numPr>
        <w:ind w:left="1134" w:firstLine="0"/>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Can a copy, along with rectification details, be shared with the Management Company and residents?</w:t>
      </w:r>
    </w:p>
    <w:p w14:paraId="2E8F3D2B" w14:textId="61D8CB58" w:rsidR="00440A70" w:rsidRPr="0002081E" w:rsidRDefault="00440A70" w:rsidP="00E3407B">
      <w:pPr>
        <w:ind w:left="1134" w:hanging="1494"/>
        <w:rPr>
          <w:rFonts w:ascii="Georgia" w:eastAsia="Times New Roman" w:hAnsi="Georgia" w:cs="Times New Roman"/>
          <w:color w:val="000000"/>
          <w:lang w:eastAsia="en-GB"/>
        </w:rPr>
      </w:pPr>
    </w:p>
    <w:p w14:paraId="426CAA20" w14:textId="77777777" w:rsidR="00646E57" w:rsidRPr="00646E57" w:rsidRDefault="00646E57" w:rsidP="00155CFD">
      <w:pPr>
        <w:numPr>
          <w:ilvl w:val="0"/>
          <w:numId w:val="14"/>
        </w:numPr>
        <w:ind w:left="1134" w:hanging="850"/>
        <w:rPr>
          <w:rFonts w:ascii="Georgia" w:eastAsia="Times New Roman" w:hAnsi="Georgia" w:cs="Times New Roman"/>
          <w:color w:val="000000"/>
          <w:lang w:eastAsia="en-GB"/>
        </w:rPr>
      </w:pPr>
      <w:r w:rsidRPr="00646E57">
        <w:rPr>
          <w:rFonts w:ascii="Georgia" w:eastAsia="Times New Roman" w:hAnsi="Georgia" w:cs="Times New Roman"/>
          <w:b/>
          <w:bCs/>
          <w:color w:val="000000"/>
          <w:lang w:eastAsia="en-GB"/>
        </w:rPr>
        <w:t>Confirmation of Estate Completion and Developer Obligations</w:t>
      </w:r>
    </w:p>
    <w:p w14:paraId="5DC76BA9" w14:textId="77777777" w:rsidR="00646E57" w:rsidRPr="00646E57" w:rsidRDefault="00646E57" w:rsidP="00155CFD">
      <w:pPr>
        <w:numPr>
          <w:ilvl w:val="1"/>
          <w:numId w:val="14"/>
        </w:numPr>
        <w:ind w:left="1134" w:hanging="14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Were all infrastructure, documentation, and planning obligations (including Section 106) completed or formally discharged at transfer?</w:t>
      </w:r>
    </w:p>
    <w:p w14:paraId="467A0AA9" w14:textId="77777777" w:rsidR="00646E57" w:rsidRPr="00646E57" w:rsidRDefault="00646E57" w:rsidP="00646E57">
      <w:pPr>
        <w:numPr>
          <w:ilvl w:val="1"/>
          <w:numId w:val="14"/>
        </w:numPr>
        <w:spacing w:before="100" w:beforeAutospacing="1" w:after="100" w:afterAutospacing="1"/>
        <w:rPr>
          <w:rFonts w:ascii="Georgia" w:eastAsia="Times New Roman" w:hAnsi="Georgia" w:cs="Times New Roman"/>
          <w:color w:val="000000"/>
          <w:lang w:eastAsia="en-GB"/>
        </w:rPr>
      </w:pPr>
      <w:r w:rsidRPr="00646E57">
        <w:rPr>
          <w:rFonts w:ascii="Georgia" w:eastAsia="Times New Roman" w:hAnsi="Georgia" w:cs="Times New Roman"/>
          <w:color w:val="000000"/>
          <w:lang w:eastAsia="en-GB"/>
        </w:rPr>
        <w:t>If not, which obligations remain outstanding and who is responsible?</w:t>
      </w:r>
    </w:p>
    <w:p w14:paraId="507A09D5" w14:textId="540EB384" w:rsidR="00214F4A" w:rsidRPr="0002081E" w:rsidRDefault="00D63F4B" w:rsidP="00D63F4B">
      <w:pPr>
        <w:jc w:val="center"/>
        <w:rPr>
          <w:rFonts w:ascii="Georgia" w:hAnsi="Georgia"/>
        </w:rPr>
      </w:pPr>
      <w:r>
        <w:rPr>
          <w:rFonts w:ascii="Georgia" w:eastAsia="Times New Roman" w:hAnsi="Georgia" w:cs="Times New Roman"/>
          <w:noProof/>
          <w:color w:val="000000"/>
          <w:lang w:eastAsia="en-GB"/>
        </w:rPr>
        <w:drawing>
          <wp:inline distT="0" distB="0" distL="0" distR="0" wp14:anchorId="5309B288" wp14:editId="5A3150DD">
            <wp:extent cx="2634664" cy="1786467"/>
            <wp:effectExtent l="0" t="0" r="0" b="4445"/>
            <wp:docPr id="117894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4715" name="Picture 1178947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4664" cy="1786467"/>
                    </a:xfrm>
                    <a:prstGeom prst="rect">
                      <a:avLst/>
                    </a:prstGeom>
                  </pic:spPr>
                </pic:pic>
              </a:graphicData>
            </a:graphic>
          </wp:inline>
        </w:drawing>
      </w:r>
    </w:p>
    <w:sectPr w:rsidR="00214F4A" w:rsidRPr="0002081E" w:rsidSect="00935378">
      <w:footerReference w:type="even" r:id="rId9"/>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5103" w14:textId="77777777" w:rsidR="00440A70" w:rsidRDefault="00440A70" w:rsidP="00440A70">
      <w:r>
        <w:separator/>
      </w:r>
    </w:p>
  </w:endnote>
  <w:endnote w:type="continuationSeparator" w:id="0">
    <w:p w14:paraId="75365F04" w14:textId="77777777" w:rsidR="00440A70" w:rsidRDefault="00440A70" w:rsidP="0044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2491800"/>
      <w:docPartObj>
        <w:docPartGallery w:val="Page Numbers (Bottom of Page)"/>
        <w:docPartUnique/>
      </w:docPartObj>
    </w:sdtPr>
    <w:sdtContent>
      <w:p w14:paraId="1DF94D25" w14:textId="31EB2967" w:rsidR="00440A70" w:rsidRDefault="00440A70" w:rsidP="007533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1C47BE" w14:textId="77777777" w:rsidR="00440A70" w:rsidRDefault="00440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5790069"/>
      <w:docPartObj>
        <w:docPartGallery w:val="Page Numbers (Bottom of Page)"/>
        <w:docPartUnique/>
      </w:docPartObj>
    </w:sdtPr>
    <w:sdtContent>
      <w:p w14:paraId="5EFB12EA" w14:textId="455BF7F4" w:rsidR="00440A70" w:rsidRDefault="00440A70" w:rsidP="007533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706C63" w14:textId="77777777" w:rsidR="00440A70" w:rsidRDefault="00440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C925" w14:textId="77777777" w:rsidR="00440A70" w:rsidRDefault="00440A70" w:rsidP="00440A70">
      <w:r>
        <w:separator/>
      </w:r>
    </w:p>
  </w:footnote>
  <w:footnote w:type="continuationSeparator" w:id="0">
    <w:p w14:paraId="1402F9FF" w14:textId="77777777" w:rsidR="00440A70" w:rsidRDefault="00440A70" w:rsidP="00440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298"/>
    <w:multiLevelType w:val="multilevel"/>
    <w:tmpl w:val="7D72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03B2D"/>
    <w:multiLevelType w:val="multilevel"/>
    <w:tmpl w:val="FA16B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90F95"/>
    <w:multiLevelType w:val="multilevel"/>
    <w:tmpl w:val="DE5C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B41FD"/>
    <w:multiLevelType w:val="multilevel"/>
    <w:tmpl w:val="78CE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85034"/>
    <w:multiLevelType w:val="multilevel"/>
    <w:tmpl w:val="2384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A01B7"/>
    <w:multiLevelType w:val="multilevel"/>
    <w:tmpl w:val="0112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55E0E"/>
    <w:multiLevelType w:val="multilevel"/>
    <w:tmpl w:val="363E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62512"/>
    <w:multiLevelType w:val="multilevel"/>
    <w:tmpl w:val="D1C0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E06DB"/>
    <w:multiLevelType w:val="multilevel"/>
    <w:tmpl w:val="6EB4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94DDE"/>
    <w:multiLevelType w:val="multilevel"/>
    <w:tmpl w:val="0350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D404B"/>
    <w:multiLevelType w:val="multilevel"/>
    <w:tmpl w:val="6274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63EE5"/>
    <w:multiLevelType w:val="multilevel"/>
    <w:tmpl w:val="5080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10E82"/>
    <w:multiLevelType w:val="multilevel"/>
    <w:tmpl w:val="7B9A6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F6117"/>
    <w:multiLevelType w:val="multilevel"/>
    <w:tmpl w:val="E27E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247971">
    <w:abstractNumId w:val="5"/>
  </w:num>
  <w:num w:numId="2" w16cid:durableId="1962374824">
    <w:abstractNumId w:val="3"/>
  </w:num>
  <w:num w:numId="3" w16cid:durableId="480653611">
    <w:abstractNumId w:val="11"/>
  </w:num>
  <w:num w:numId="4" w16cid:durableId="2050641955">
    <w:abstractNumId w:val="0"/>
  </w:num>
  <w:num w:numId="5" w16cid:durableId="811797105">
    <w:abstractNumId w:val="4"/>
  </w:num>
  <w:num w:numId="6" w16cid:durableId="2051876116">
    <w:abstractNumId w:val="8"/>
  </w:num>
  <w:num w:numId="7" w16cid:durableId="1703051110">
    <w:abstractNumId w:val="7"/>
  </w:num>
  <w:num w:numId="8" w16cid:durableId="1200320931">
    <w:abstractNumId w:val="10"/>
  </w:num>
  <w:num w:numId="9" w16cid:durableId="1155413084">
    <w:abstractNumId w:val="9"/>
  </w:num>
  <w:num w:numId="10" w16cid:durableId="377777755">
    <w:abstractNumId w:val="12"/>
  </w:num>
  <w:num w:numId="11" w16cid:durableId="27032515">
    <w:abstractNumId w:val="13"/>
  </w:num>
  <w:num w:numId="12" w16cid:durableId="4787510">
    <w:abstractNumId w:val="6"/>
  </w:num>
  <w:num w:numId="13" w16cid:durableId="1255552870">
    <w:abstractNumId w:val="2"/>
  </w:num>
  <w:num w:numId="14" w16cid:durableId="813985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57"/>
    <w:rsid w:val="0002081E"/>
    <w:rsid w:val="00103906"/>
    <w:rsid w:val="00155CFD"/>
    <w:rsid w:val="001C7A55"/>
    <w:rsid w:val="00214F4A"/>
    <w:rsid w:val="00420DAC"/>
    <w:rsid w:val="00440A70"/>
    <w:rsid w:val="005A7A13"/>
    <w:rsid w:val="00646E57"/>
    <w:rsid w:val="00835ADC"/>
    <w:rsid w:val="00935378"/>
    <w:rsid w:val="00A96C3F"/>
    <w:rsid w:val="00C06DCC"/>
    <w:rsid w:val="00C605D7"/>
    <w:rsid w:val="00D409CF"/>
    <w:rsid w:val="00D63F4B"/>
    <w:rsid w:val="00DB13AA"/>
    <w:rsid w:val="00E34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BE71"/>
  <w15:chartTrackingRefBased/>
  <w15:docId w15:val="{F3A8A2C9-CDBE-BA47-8BF0-13670A9C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906"/>
    <w:rPr>
      <w:rFonts w:eastAsiaTheme="minorEastAsia"/>
    </w:rPr>
  </w:style>
  <w:style w:type="paragraph" w:styleId="Heading1">
    <w:name w:val="heading 1"/>
    <w:basedOn w:val="Normal"/>
    <w:next w:val="Normal"/>
    <w:link w:val="Heading1Char"/>
    <w:uiPriority w:val="9"/>
    <w:qFormat/>
    <w:rsid w:val="00103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03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03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3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3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39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9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9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9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03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03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3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3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3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906"/>
    <w:rPr>
      <w:rFonts w:eastAsiaTheme="majorEastAsia" w:cstheme="majorBidi"/>
      <w:color w:val="272727" w:themeColor="text1" w:themeTint="D8"/>
    </w:rPr>
  </w:style>
  <w:style w:type="paragraph" w:styleId="Title">
    <w:name w:val="Title"/>
    <w:basedOn w:val="Normal"/>
    <w:next w:val="Normal"/>
    <w:link w:val="TitleChar"/>
    <w:uiPriority w:val="10"/>
    <w:qFormat/>
    <w:rsid w:val="001039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9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90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03906"/>
    <w:pPr>
      <w:ind w:left="720"/>
      <w:contextualSpacing/>
    </w:pPr>
  </w:style>
  <w:style w:type="paragraph" w:styleId="Quote">
    <w:name w:val="Quote"/>
    <w:basedOn w:val="Normal"/>
    <w:next w:val="Normal"/>
    <w:link w:val="QuoteChar"/>
    <w:uiPriority w:val="29"/>
    <w:qFormat/>
    <w:rsid w:val="001039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3906"/>
    <w:rPr>
      <w:rFonts w:eastAsiaTheme="minorEastAsia"/>
      <w:i/>
      <w:iCs/>
      <w:color w:val="404040" w:themeColor="text1" w:themeTint="BF"/>
    </w:rPr>
  </w:style>
  <w:style w:type="paragraph" w:styleId="IntenseQuote">
    <w:name w:val="Intense Quote"/>
    <w:basedOn w:val="Normal"/>
    <w:next w:val="Normal"/>
    <w:link w:val="IntenseQuoteChar"/>
    <w:uiPriority w:val="30"/>
    <w:qFormat/>
    <w:rsid w:val="00103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3906"/>
    <w:rPr>
      <w:rFonts w:eastAsiaTheme="minorEastAsia"/>
      <w:i/>
      <w:iCs/>
      <w:color w:val="2F5496" w:themeColor="accent1" w:themeShade="BF"/>
    </w:rPr>
  </w:style>
  <w:style w:type="character" w:styleId="IntenseEmphasis">
    <w:name w:val="Intense Emphasis"/>
    <w:basedOn w:val="DefaultParagraphFont"/>
    <w:uiPriority w:val="21"/>
    <w:qFormat/>
    <w:rsid w:val="00103906"/>
    <w:rPr>
      <w:i/>
      <w:iCs/>
      <w:color w:val="2F5496" w:themeColor="accent1" w:themeShade="BF"/>
    </w:rPr>
  </w:style>
  <w:style w:type="character" w:styleId="IntenseReference">
    <w:name w:val="Intense Reference"/>
    <w:basedOn w:val="DefaultParagraphFont"/>
    <w:uiPriority w:val="32"/>
    <w:qFormat/>
    <w:rsid w:val="00103906"/>
    <w:rPr>
      <w:b/>
      <w:bCs/>
      <w:smallCaps/>
      <w:color w:val="2F5496" w:themeColor="accent1" w:themeShade="BF"/>
      <w:spacing w:val="5"/>
    </w:rPr>
  </w:style>
  <w:style w:type="paragraph" w:styleId="NormalWeb">
    <w:name w:val="Normal (Web)"/>
    <w:basedOn w:val="Normal"/>
    <w:uiPriority w:val="99"/>
    <w:semiHidden/>
    <w:unhideWhenUsed/>
    <w:rsid w:val="00646E5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46E57"/>
    <w:rPr>
      <w:b/>
      <w:bCs/>
    </w:rPr>
  </w:style>
  <w:style w:type="character" w:customStyle="1" w:styleId="apple-converted-space">
    <w:name w:val="apple-converted-space"/>
    <w:basedOn w:val="DefaultParagraphFont"/>
    <w:rsid w:val="00646E57"/>
  </w:style>
  <w:style w:type="character" w:styleId="Hyperlink">
    <w:name w:val="Hyperlink"/>
    <w:basedOn w:val="DefaultParagraphFont"/>
    <w:uiPriority w:val="99"/>
    <w:semiHidden/>
    <w:unhideWhenUsed/>
    <w:rsid w:val="00646E57"/>
    <w:rPr>
      <w:color w:val="0000FF"/>
      <w:u w:val="single"/>
    </w:rPr>
  </w:style>
  <w:style w:type="paragraph" w:styleId="Footer">
    <w:name w:val="footer"/>
    <w:basedOn w:val="Normal"/>
    <w:link w:val="FooterChar"/>
    <w:uiPriority w:val="99"/>
    <w:unhideWhenUsed/>
    <w:rsid w:val="00440A70"/>
    <w:pPr>
      <w:tabs>
        <w:tab w:val="center" w:pos="4513"/>
        <w:tab w:val="right" w:pos="9026"/>
      </w:tabs>
    </w:pPr>
  </w:style>
  <w:style w:type="character" w:customStyle="1" w:styleId="FooterChar">
    <w:name w:val="Footer Char"/>
    <w:basedOn w:val="DefaultParagraphFont"/>
    <w:link w:val="Footer"/>
    <w:uiPriority w:val="99"/>
    <w:rsid w:val="00440A70"/>
    <w:rPr>
      <w:rFonts w:eastAsiaTheme="minorEastAsia"/>
    </w:rPr>
  </w:style>
  <w:style w:type="character" w:styleId="PageNumber">
    <w:name w:val="page number"/>
    <w:basedOn w:val="DefaultParagraphFont"/>
    <w:uiPriority w:val="99"/>
    <w:semiHidden/>
    <w:unhideWhenUsed/>
    <w:rsid w:val="0044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voice.org.uk/badburypa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1097</Words>
  <Characters>6059</Characters>
  <Application>Microsoft Office Word</Application>
  <DocSecurity>0</DocSecurity>
  <Lines>118</Lines>
  <Paragraphs>52</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Eves</dc:creator>
  <cp:keywords/>
  <dc:description/>
  <cp:lastModifiedBy>Peter Eves</cp:lastModifiedBy>
  <cp:revision>10</cp:revision>
  <dcterms:created xsi:type="dcterms:W3CDTF">2026-03-15T17:13:00Z</dcterms:created>
  <dcterms:modified xsi:type="dcterms:W3CDTF">2026-03-15T17:33:00Z</dcterms:modified>
</cp:coreProperties>
</file>