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5C09" w14:textId="00B0E819"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To</w:t>
      </w:r>
      <w:r>
        <w:rPr>
          <w:rFonts w:asciiTheme="majorHAnsi" w:eastAsia="Times New Roman" w:hAnsiTheme="majorHAnsi" w:cstheme="majorHAnsi"/>
          <w:color w:val="000000"/>
          <w:lang w:eastAsia="en-GB"/>
        </w:rPr>
        <w:t>:</w:t>
      </w:r>
      <w:r w:rsidRPr="000F3137">
        <w:rPr>
          <w:rFonts w:asciiTheme="majorHAnsi" w:eastAsia="Times New Roman" w:hAnsiTheme="majorHAnsi" w:cstheme="majorHAnsi"/>
          <w:color w:val="000000"/>
          <w:lang w:eastAsia="en-GB"/>
        </w:rPr>
        <w:t xml:space="preserve"> Swindon Borough Council</w:t>
      </w:r>
      <w:r w:rsidRPr="000F3137">
        <w:rPr>
          <w:rFonts w:ascii="MS Gothic" w:eastAsia="MS Gothic" w:hAnsi="MS Gothic" w:cs="MS Gothic" w:hint="eastAsia"/>
          <w:color w:val="000000"/>
          <w:lang w:val="en-US" w:eastAsia="en-GB"/>
        </w:rPr>
        <w:t> </w:t>
      </w:r>
    </w:p>
    <w:p w14:paraId="26B094C5" w14:textId="40B38C5B"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 xml:space="preserve">Planning / Highways / </w:t>
      </w:r>
      <w:r>
        <w:rPr>
          <w:rFonts w:asciiTheme="majorHAnsi" w:eastAsia="Times New Roman" w:hAnsiTheme="majorHAnsi" w:cstheme="majorHAnsi"/>
          <w:color w:val="000000"/>
          <w:lang w:eastAsia="en-GB"/>
        </w:rPr>
        <w:t>Enforcement /</w:t>
      </w:r>
      <w:r w:rsidRPr="000F3137">
        <w:rPr>
          <w:rFonts w:asciiTheme="majorHAnsi" w:eastAsia="Times New Roman" w:hAnsiTheme="majorHAnsi" w:cstheme="majorHAnsi"/>
          <w:color w:val="000000"/>
          <w:lang w:eastAsia="en-GB"/>
        </w:rPr>
        <w:t>Legal Services</w:t>
      </w:r>
    </w:p>
    <w:p w14:paraId="5F4818B0"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b/>
          <w:bCs/>
          <w:color w:val="000000"/>
          <w:sz w:val="10"/>
          <w:szCs w:val="10"/>
          <w:lang w:eastAsia="en-GB"/>
        </w:rPr>
        <w:t> </w:t>
      </w:r>
    </w:p>
    <w:p w14:paraId="6BE810F2"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11 December 2025</w:t>
      </w:r>
    </w:p>
    <w:p w14:paraId="40DEFB2A"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b/>
          <w:bCs/>
          <w:color w:val="000000"/>
          <w:sz w:val="10"/>
          <w:szCs w:val="10"/>
          <w:lang w:eastAsia="en-GB"/>
        </w:rPr>
        <w:t> </w:t>
      </w:r>
    </w:p>
    <w:p w14:paraId="45565FA3"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b/>
          <w:bCs/>
          <w:color w:val="000000"/>
          <w:lang w:eastAsia="en-GB"/>
        </w:rPr>
        <w:t>Re: SuDS Responsibility at Badbury Park – Commonhead, Coate, Badbury Park (NEV)</w:t>
      </w:r>
    </w:p>
    <w:p w14:paraId="1D9FC0D7"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14B5BCAB"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Dear Sir/Madam,</w:t>
      </w:r>
    </w:p>
    <w:p w14:paraId="1B13A751"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We write to formally set out the position regarding responsibility for the Sustainable Drainage System (SuDS) serving the Badbury Park development.</w:t>
      </w:r>
    </w:p>
    <w:p w14:paraId="5C0694EF"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038C6BBF"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Despite repeated requests, Swindon Borough Council (SBC) </w:t>
      </w:r>
      <w:r w:rsidRPr="000F3137">
        <w:rPr>
          <w:rFonts w:asciiTheme="majorHAnsi" w:eastAsia="Times New Roman" w:hAnsiTheme="majorHAnsi" w:cstheme="majorHAnsi"/>
          <w:b/>
          <w:bCs/>
          <w:color w:val="000000"/>
          <w:lang w:eastAsia="en-GB"/>
        </w:rPr>
        <w:t>has been unable to confirm who is responsible for the SuDS infrastructure at Badbury Park.</w:t>
      </w:r>
      <w:r w:rsidRPr="000F3137">
        <w:rPr>
          <w:rFonts w:asciiTheme="majorHAnsi" w:eastAsia="Times New Roman" w:hAnsiTheme="majorHAnsi" w:cstheme="majorHAnsi"/>
          <w:color w:val="000000"/>
          <w:lang w:eastAsia="en-GB"/>
        </w:rPr>
        <w:t> In addition:</w:t>
      </w:r>
    </w:p>
    <w:p w14:paraId="3D0E2679"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62E6D09D" w14:textId="71537D38" w:rsidR="000F3137" w:rsidRPr="000F3137" w:rsidRDefault="000F3137" w:rsidP="000F3137">
      <w:pPr>
        <w:ind w:left="284"/>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1.  </w:t>
      </w:r>
      <w:r w:rsidRPr="000F3137">
        <w:rPr>
          <w:rFonts w:asciiTheme="majorHAnsi" w:eastAsia="Times New Roman" w:hAnsiTheme="majorHAnsi" w:cstheme="majorHAnsi"/>
          <w:b/>
          <w:bCs/>
          <w:color w:val="222222"/>
          <w:lang w:eastAsia="en-GB"/>
        </w:rPr>
        <w:t>Our title deeds for properties at Badbury Park do not contain any covenant requiring the property owners to maintain SuDS infrastructure;</w:t>
      </w:r>
      <w:r w:rsidRPr="000F3137">
        <w:rPr>
          <w:rFonts w:asciiTheme="majorHAnsi" w:eastAsia="Times New Roman" w:hAnsiTheme="majorHAnsi" w:cstheme="majorHAnsi"/>
          <w:color w:val="222222"/>
          <w:lang w:eastAsia="en-GB"/>
        </w:rPr>
        <w:t> and</w:t>
      </w:r>
    </w:p>
    <w:p w14:paraId="4BDDFD03" w14:textId="2DEC30F9" w:rsidR="000F3137" w:rsidRPr="000F3137" w:rsidRDefault="000F3137" w:rsidP="000F3137">
      <w:pPr>
        <w:ind w:left="284"/>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2.   We have been informed the developers </w:t>
      </w:r>
      <w:r w:rsidRPr="000F3137">
        <w:rPr>
          <w:rFonts w:asciiTheme="majorHAnsi" w:eastAsia="Times New Roman" w:hAnsiTheme="majorHAnsi" w:cstheme="majorHAnsi"/>
          <w:b/>
          <w:bCs/>
          <w:color w:val="222222"/>
          <w:lang w:eastAsia="en-GB"/>
        </w:rPr>
        <w:t>did not provide our solicitor with any covenant, obligation, or legal mechanism assigning responsibility for SuDS maintenance.</w:t>
      </w:r>
    </w:p>
    <w:p w14:paraId="1E403E19" w14:textId="77777777" w:rsidR="000F3137" w:rsidRPr="000F3137" w:rsidRDefault="000F3137" w:rsidP="000F3137">
      <w:pPr>
        <w:ind w:left="426"/>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219B0F0A"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Accordingly, there is </w:t>
      </w:r>
      <w:r w:rsidRPr="000F3137">
        <w:rPr>
          <w:rFonts w:asciiTheme="majorHAnsi" w:eastAsia="Times New Roman" w:hAnsiTheme="majorHAnsi" w:cstheme="majorHAnsi"/>
          <w:b/>
          <w:bCs/>
          <w:color w:val="000000"/>
          <w:lang w:eastAsia="en-GB"/>
        </w:rPr>
        <w:t>no clear legal mechanism currently recorded on title</w:t>
      </w:r>
      <w:r w:rsidRPr="000F3137">
        <w:rPr>
          <w:rFonts w:asciiTheme="majorHAnsi" w:eastAsia="Times New Roman" w:hAnsiTheme="majorHAnsi" w:cstheme="majorHAnsi"/>
          <w:color w:val="000000"/>
          <w:lang w:eastAsia="en-GB"/>
        </w:rPr>
        <w:t> that requires property owners to maintain the SuDS infrastructure, nor has SBC been able to confirm responsibility as the local planning authority or relevant adopting body.</w:t>
      </w:r>
    </w:p>
    <w:p w14:paraId="549CB0D3"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1A385F5A"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For clarity, the relevant </w:t>
      </w:r>
      <w:r w:rsidRPr="000F3137">
        <w:rPr>
          <w:rFonts w:asciiTheme="majorHAnsi" w:eastAsia="Times New Roman" w:hAnsiTheme="majorHAnsi" w:cstheme="majorHAnsi"/>
          <w:i/>
          <w:iCs/>
          <w:color w:val="000000"/>
          <w:lang w:eastAsia="en-GB"/>
        </w:rPr>
        <w:t>SuDS Vision for NEV SPD</w:t>
      </w:r>
      <w:r w:rsidRPr="000F3137">
        <w:rPr>
          <w:rFonts w:asciiTheme="majorHAnsi" w:eastAsia="Times New Roman" w:hAnsiTheme="majorHAnsi" w:cstheme="majorHAnsi"/>
          <w:color w:val="000000"/>
          <w:lang w:eastAsia="en-GB"/>
        </w:rPr>
        <w:t> sets out specific requirements for SuDS design, approval, adoption and maintenance. Such requirements include the following:</w:t>
      </w:r>
    </w:p>
    <w:p w14:paraId="7FAECB38" w14:textId="77777777"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SuDS must provide a maintenance plan, including details of how proposed and existing drainage features will be maintained after completion, with </w:t>
      </w:r>
      <w:r w:rsidRPr="000F3137">
        <w:rPr>
          <w:rFonts w:asciiTheme="majorHAnsi" w:eastAsia="Times New Roman" w:hAnsiTheme="majorHAnsi" w:cstheme="majorHAnsi"/>
          <w:b/>
          <w:bCs/>
          <w:color w:val="222222"/>
          <w:lang w:eastAsia="en-GB"/>
        </w:rPr>
        <w:t>confirmation from the relevant authority that they will adopt any systems that are offered for adoption</w:t>
      </w:r>
      <w:r w:rsidRPr="000F3137">
        <w:rPr>
          <w:rFonts w:asciiTheme="majorHAnsi" w:eastAsia="Times New Roman" w:hAnsiTheme="majorHAnsi" w:cstheme="majorHAnsi"/>
          <w:color w:val="222222"/>
          <w:lang w:eastAsia="en-GB"/>
        </w:rPr>
        <w:t>.</w:t>
      </w:r>
    </w:p>
    <w:p w14:paraId="6FB72724" w14:textId="77777777"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Where drainage features will not be adopted by SBC, they must still be included in the Section 38 approval with a maintenance strategy.</w:t>
      </w:r>
    </w:p>
    <w:p w14:paraId="60657D66" w14:textId="77777777"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The strategy must identify </w:t>
      </w:r>
      <w:r w:rsidRPr="000F3137">
        <w:rPr>
          <w:rFonts w:asciiTheme="majorHAnsi" w:eastAsia="Times New Roman" w:hAnsiTheme="majorHAnsi" w:cstheme="majorHAnsi"/>
          <w:b/>
          <w:bCs/>
          <w:color w:val="222222"/>
          <w:lang w:eastAsia="en-GB"/>
        </w:rPr>
        <w:t>clear lines of responsibility and funding for long-term maintenance</w:t>
      </w:r>
      <w:r w:rsidRPr="000F3137">
        <w:rPr>
          <w:rFonts w:asciiTheme="majorHAnsi" w:eastAsia="Times New Roman" w:hAnsiTheme="majorHAnsi" w:cstheme="majorHAnsi"/>
          <w:color w:val="222222"/>
          <w:lang w:eastAsia="en-GB"/>
        </w:rPr>
        <w:t>.</w:t>
      </w:r>
    </w:p>
    <w:p w14:paraId="30888C7F" w14:textId="77777777"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Developers have a responsibility to secure a third party to maintain SuDS for the life of the development, or set up a management company and associated maintenance funding.</w:t>
      </w:r>
    </w:p>
    <w:p w14:paraId="0182A0D5" w14:textId="77777777"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SBC’s position within the SPD is that only highways drainage infrastructure will be adopted; </w:t>
      </w:r>
      <w:r w:rsidRPr="000F3137">
        <w:rPr>
          <w:rFonts w:asciiTheme="majorHAnsi" w:eastAsia="Times New Roman" w:hAnsiTheme="majorHAnsi" w:cstheme="majorHAnsi"/>
          <w:b/>
          <w:bCs/>
          <w:color w:val="222222"/>
          <w:lang w:eastAsia="en-GB"/>
        </w:rPr>
        <w:t>non-highway SuDS assets must be part of a S106 agreement or a management company arrangement with commuted sums for maintenance.</w:t>
      </w:r>
    </w:p>
    <w:p w14:paraId="0B60C3CE"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1A4460B3"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These standards clearly require that, </w:t>
      </w:r>
      <w:r w:rsidRPr="000F3137">
        <w:rPr>
          <w:rFonts w:asciiTheme="majorHAnsi" w:eastAsia="Times New Roman" w:hAnsiTheme="majorHAnsi" w:cstheme="majorHAnsi"/>
          <w:b/>
          <w:bCs/>
          <w:color w:val="000000"/>
          <w:lang w:eastAsia="en-GB"/>
        </w:rPr>
        <w:t>before planning permission is fully discharged or technical approvals granted</w:t>
      </w:r>
      <w:r w:rsidRPr="000F3137">
        <w:rPr>
          <w:rFonts w:asciiTheme="majorHAnsi" w:eastAsia="Times New Roman" w:hAnsiTheme="majorHAnsi" w:cstheme="majorHAnsi"/>
          <w:color w:val="000000"/>
          <w:lang w:eastAsia="en-GB"/>
        </w:rPr>
        <w:t>, the applicant must demonstrate that adoption and maintenance arrangements are secured. However, </w:t>
      </w:r>
      <w:r w:rsidRPr="000F3137">
        <w:rPr>
          <w:rFonts w:asciiTheme="majorHAnsi" w:eastAsia="Times New Roman" w:hAnsiTheme="majorHAnsi" w:cstheme="majorHAnsi"/>
          <w:b/>
          <w:bCs/>
          <w:color w:val="000000"/>
          <w:lang w:eastAsia="en-GB"/>
        </w:rPr>
        <w:t>no such adoption or maintenance responsibility appears to have been recorded, confirmed, or secured for Badbury Park SuDS</w:t>
      </w:r>
      <w:r w:rsidRPr="000F3137">
        <w:rPr>
          <w:rFonts w:asciiTheme="majorHAnsi" w:eastAsia="Times New Roman" w:hAnsiTheme="majorHAnsi" w:cstheme="majorHAnsi"/>
          <w:color w:val="000000"/>
          <w:lang w:eastAsia="en-GB"/>
        </w:rPr>
        <w:t>.</w:t>
      </w:r>
    </w:p>
    <w:p w14:paraId="4C3E6E1C"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1212F769"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Given the absence of:</w:t>
      </w:r>
    </w:p>
    <w:p w14:paraId="7CAA4118" w14:textId="0CA7F395"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any recorded maintenance covenant on title,</w:t>
      </w:r>
    </w:p>
    <w:p w14:paraId="2A9040A3" w14:textId="223863A9"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w:t>
      </w:r>
      <w:r>
        <w:rPr>
          <w:rFonts w:asciiTheme="majorHAnsi" w:eastAsia="Times New Roman" w:hAnsiTheme="majorHAnsi" w:cstheme="majorHAnsi"/>
          <w:color w:val="222222"/>
          <w:lang w:eastAsia="en-GB"/>
        </w:rPr>
        <w:t xml:space="preserve"> </w:t>
      </w:r>
      <w:r w:rsidRPr="000F3137">
        <w:rPr>
          <w:rFonts w:asciiTheme="majorHAnsi" w:eastAsia="Times New Roman" w:hAnsiTheme="majorHAnsi" w:cstheme="majorHAnsi"/>
          <w:color w:val="222222"/>
          <w:lang w:eastAsia="en-GB"/>
        </w:rPr>
        <w:t>any confirmation from SBC of responsibility, and</w:t>
      </w:r>
    </w:p>
    <w:p w14:paraId="7B0C7DE9" w14:textId="68541DA3"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 </w:t>
      </w:r>
      <w:r>
        <w:rPr>
          <w:rFonts w:asciiTheme="majorHAnsi" w:eastAsia="Times New Roman" w:hAnsiTheme="majorHAnsi" w:cstheme="majorHAnsi"/>
          <w:color w:val="222222"/>
          <w:lang w:eastAsia="en-GB"/>
        </w:rPr>
        <w:t xml:space="preserve"> </w:t>
      </w:r>
      <w:r w:rsidRPr="000F3137">
        <w:rPr>
          <w:rFonts w:asciiTheme="majorHAnsi" w:eastAsia="Times New Roman" w:hAnsiTheme="majorHAnsi" w:cstheme="majorHAnsi"/>
          <w:color w:val="222222"/>
          <w:lang w:eastAsia="en-GB"/>
        </w:rPr>
        <w:t>any evidence of a management company or alternative body who is legally bound to maintain the SuDS,</w:t>
      </w:r>
    </w:p>
    <w:p w14:paraId="2947458A"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2E437635"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We request that SBC </w:t>
      </w:r>
      <w:r w:rsidRPr="000F3137">
        <w:rPr>
          <w:rFonts w:asciiTheme="majorHAnsi" w:eastAsia="Times New Roman" w:hAnsiTheme="majorHAnsi" w:cstheme="majorHAnsi"/>
          <w:b/>
          <w:bCs/>
          <w:color w:val="000000"/>
          <w:lang w:eastAsia="en-GB"/>
        </w:rPr>
        <w:t>formally confirm in writing:</w:t>
      </w:r>
    </w:p>
    <w:p w14:paraId="6D1A9622" w14:textId="347E293F"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1. Whether SBC </w:t>
      </w:r>
      <w:r w:rsidRPr="000F3137">
        <w:rPr>
          <w:rFonts w:asciiTheme="majorHAnsi" w:eastAsia="Times New Roman" w:hAnsiTheme="majorHAnsi" w:cstheme="majorHAnsi"/>
          <w:b/>
          <w:bCs/>
          <w:color w:val="222222"/>
          <w:lang w:eastAsia="en-GB"/>
        </w:rPr>
        <w:t>considers itself responsible</w:t>
      </w:r>
      <w:r w:rsidRPr="000F3137">
        <w:rPr>
          <w:rFonts w:asciiTheme="majorHAnsi" w:eastAsia="Times New Roman" w:hAnsiTheme="majorHAnsi" w:cstheme="majorHAnsi"/>
          <w:color w:val="222222"/>
          <w:lang w:eastAsia="en-GB"/>
        </w:rPr>
        <w:t> for ongoing maintenance of all SuDS assets at Badbury Park;</w:t>
      </w:r>
    </w:p>
    <w:p w14:paraId="2FFE901D" w14:textId="72E9AF73"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2. Whether the SuDS assets were ever offered for adoption by SBC;</w:t>
      </w:r>
    </w:p>
    <w:p w14:paraId="53EB6274" w14:textId="6F20E9E4"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3.  If SBC does not accept responsibility, </w:t>
      </w:r>
      <w:r w:rsidRPr="000F3137">
        <w:rPr>
          <w:rFonts w:asciiTheme="majorHAnsi" w:eastAsia="Times New Roman" w:hAnsiTheme="majorHAnsi" w:cstheme="majorHAnsi"/>
          <w:b/>
          <w:bCs/>
          <w:color w:val="222222"/>
          <w:lang w:eastAsia="en-GB"/>
        </w:rPr>
        <w:t>who SBC considers is legally responsible</w:t>
      </w:r>
      <w:r w:rsidRPr="000F3137">
        <w:rPr>
          <w:rFonts w:asciiTheme="majorHAnsi" w:eastAsia="Times New Roman" w:hAnsiTheme="majorHAnsi" w:cstheme="majorHAnsi"/>
          <w:color w:val="222222"/>
          <w:lang w:eastAsia="en-GB"/>
        </w:rPr>
        <w:t> for ongoing maintenance;</w:t>
      </w:r>
    </w:p>
    <w:p w14:paraId="082CE5A5" w14:textId="73D4C4E3"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t>4. Whether SBC has copies of any maintenance agreements, covenants, or legal arrangements relating to SuDS at Badbury Park; and</w:t>
      </w:r>
    </w:p>
    <w:p w14:paraId="3D7294D4" w14:textId="68CB7F60" w:rsidR="000F3137" w:rsidRPr="000F3137" w:rsidRDefault="000F3137" w:rsidP="000F3137">
      <w:pPr>
        <w:ind w:left="426"/>
        <w:rPr>
          <w:rFonts w:asciiTheme="majorHAnsi" w:eastAsia="Times New Roman" w:hAnsiTheme="majorHAnsi" w:cstheme="majorHAnsi"/>
          <w:color w:val="222222"/>
          <w:lang w:eastAsia="en-GB"/>
        </w:rPr>
      </w:pPr>
      <w:r w:rsidRPr="000F3137">
        <w:rPr>
          <w:rFonts w:asciiTheme="majorHAnsi" w:eastAsia="Times New Roman" w:hAnsiTheme="majorHAnsi" w:cstheme="majorHAnsi"/>
          <w:color w:val="222222"/>
          <w:lang w:eastAsia="en-GB"/>
        </w:rPr>
        <w:lastRenderedPageBreak/>
        <w:t>5. On what basis SBC would enforce maintenance obligations if no covenant or adoption exists.</w:t>
      </w:r>
    </w:p>
    <w:p w14:paraId="6FC45118"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5967FBE1"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Please treat this as a request for clear factual confirmation in writing. If SBC maintains that responsibility lies elsewhere, we request that you identify the legal instrument, agreement or recorded instrument that establishes that responsibility.</w:t>
      </w:r>
    </w:p>
    <w:p w14:paraId="0536D1D1"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231BE1B2"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This information is required to support our ongoing compliant and engagement with the Local Government and Social Care Ombudsman and to ensure that surface water management infrastructure at Badbury Park is maintained in accordance with the requirements of the NEV SuDS SPD and relevant planning conditions.</w:t>
      </w:r>
    </w:p>
    <w:p w14:paraId="7FAE27ED"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573EAD20"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We look forward to your earliest written confirmation.</w:t>
      </w:r>
    </w:p>
    <w:p w14:paraId="1A849266"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color w:val="000000"/>
          <w:sz w:val="10"/>
          <w:szCs w:val="10"/>
          <w:lang w:eastAsia="en-GB"/>
        </w:rPr>
        <w:t> </w:t>
      </w:r>
    </w:p>
    <w:p w14:paraId="6AF10A80"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Yours faithfully,</w:t>
      </w:r>
    </w:p>
    <w:p w14:paraId="3C2CBA39" w14:textId="77777777" w:rsidR="000F3137" w:rsidRPr="000F3137" w:rsidRDefault="000F3137" w:rsidP="000F3137">
      <w:pPr>
        <w:rPr>
          <w:rFonts w:asciiTheme="majorHAnsi" w:eastAsia="Times New Roman" w:hAnsiTheme="majorHAnsi" w:cstheme="majorHAnsi"/>
          <w:color w:val="000000"/>
          <w:sz w:val="10"/>
          <w:szCs w:val="10"/>
          <w:lang w:eastAsia="en-GB"/>
        </w:rPr>
      </w:pPr>
      <w:r w:rsidRPr="000F3137">
        <w:rPr>
          <w:rFonts w:asciiTheme="majorHAnsi" w:eastAsia="Times New Roman" w:hAnsiTheme="majorHAnsi" w:cstheme="majorHAnsi"/>
          <w:b/>
          <w:bCs/>
          <w:color w:val="000000"/>
          <w:sz w:val="10"/>
          <w:szCs w:val="10"/>
          <w:lang w:eastAsia="en-GB"/>
        </w:rPr>
        <w:t> </w:t>
      </w:r>
    </w:p>
    <w:p w14:paraId="1AF101F0"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Peter Eves</w:t>
      </w:r>
    </w:p>
    <w:p w14:paraId="2AE416E0" w14:textId="77777777" w:rsidR="000F3137" w:rsidRPr="000F3137" w:rsidRDefault="000F3137" w:rsidP="000F3137">
      <w:pPr>
        <w:rPr>
          <w:rFonts w:asciiTheme="majorHAnsi" w:eastAsia="Times New Roman" w:hAnsiTheme="majorHAnsi" w:cstheme="majorHAnsi"/>
          <w:color w:val="000000"/>
          <w:lang w:eastAsia="en-GB"/>
        </w:rPr>
      </w:pPr>
      <w:r w:rsidRPr="000F3137">
        <w:rPr>
          <w:rFonts w:asciiTheme="majorHAnsi" w:eastAsia="Times New Roman" w:hAnsiTheme="majorHAnsi" w:cstheme="majorHAnsi"/>
          <w:color w:val="000000"/>
          <w:lang w:eastAsia="en-GB"/>
        </w:rPr>
        <w:t>Coate (Badbury Park) Residents Working Group Coordinator</w:t>
      </w:r>
    </w:p>
    <w:p w14:paraId="2C118DF1" w14:textId="77777777" w:rsidR="0067692F" w:rsidRPr="000F3137" w:rsidRDefault="0067692F">
      <w:pPr>
        <w:rPr>
          <w:rFonts w:asciiTheme="majorHAnsi" w:hAnsiTheme="majorHAnsi" w:cstheme="majorHAnsi"/>
        </w:rPr>
      </w:pPr>
    </w:p>
    <w:sectPr w:rsidR="0067692F" w:rsidRPr="000F3137" w:rsidSect="000F3137">
      <w:footerReference w:type="even" r:id="rId6"/>
      <w:footerReference w:type="default" r:id="rId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D662" w14:textId="77777777" w:rsidR="00DE60DA" w:rsidRDefault="00DE60DA" w:rsidP="000F3137">
      <w:r>
        <w:separator/>
      </w:r>
    </w:p>
  </w:endnote>
  <w:endnote w:type="continuationSeparator" w:id="0">
    <w:p w14:paraId="4FE59840" w14:textId="77777777" w:rsidR="00DE60DA" w:rsidRDefault="00DE60DA" w:rsidP="000F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563940"/>
      <w:docPartObj>
        <w:docPartGallery w:val="Page Numbers (Bottom of Page)"/>
        <w:docPartUnique/>
      </w:docPartObj>
    </w:sdtPr>
    <w:sdtContent>
      <w:p w14:paraId="219A12C7" w14:textId="58800B88" w:rsidR="000F3137" w:rsidRDefault="000F31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94FC26" w14:textId="77777777" w:rsidR="000F3137" w:rsidRDefault="000F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584066"/>
      <w:docPartObj>
        <w:docPartGallery w:val="Page Numbers (Bottom of Page)"/>
        <w:docPartUnique/>
      </w:docPartObj>
    </w:sdtPr>
    <w:sdtContent>
      <w:p w14:paraId="596520F0" w14:textId="04E9BCBB" w:rsidR="000F3137" w:rsidRDefault="000F31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899D52" w14:textId="77777777" w:rsidR="000F3137" w:rsidRDefault="000F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2143" w14:textId="77777777" w:rsidR="00DE60DA" w:rsidRDefault="00DE60DA" w:rsidP="000F3137">
      <w:r>
        <w:separator/>
      </w:r>
    </w:p>
  </w:footnote>
  <w:footnote w:type="continuationSeparator" w:id="0">
    <w:p w14:paraId="02738611" w14:textId="77777777" w:rsidR="00DE60DA" w:rsidRDefault="00DE60DA" w:rsidP="000F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37"/>
    <w:rsid w:val="000F3137"/>
    <w:rsid w:val="001D54B2"/>
    <w:rsid w:val="00303A95"/>
    <w:rsid w:val="003B22CE"/>
    <w:rsid w:val="004E4082"/>
    <w:rsid w:val="00615540"/>
    <w:rsid w:val="00651E70"/>
    <w:rsid w:val="0067692F"/>
    <w:rsid w:val="008975EC"/>
    <w:rsid w:val="00A96C3F"/>
    <w:rsid w:val="00DE60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216B2CF"/>
  <w15:chartTrackingRefBased/>
  <w15:docId w15:val="{79639A93-1E6A-D442-B5DF-47319924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1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1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1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1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1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1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1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1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1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137"/>
    <w:rPr>
      <w:rFonts w:eastAsiaTheme="majorEastAsia" w:cstheme="majorBidi"/>
      <w:color w:val="272727" w:themeColor="text1" w:themeTint="D8"/>
    </w:rPr>
  </w:style>
  <w:style w:type="paragraph" w:styleId="Title">
    <w:name w:val="Title"/>
    <w:basedOn w:val="Normal"/>
    <w:next w:val="Normal"/>
    <w:link w:val="TitleChar"/>
    <w:uiPriority w:val="10"/>
    <w:qFormat/>
    <w:rsid w:val="000F3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1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1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137"/>
    <w:rPr>
      <w:i/>
      <w:iCs/>
      <w:color w:val="404040" w:themeColor="text1" w:themeTint="BF"/>
    </w:rPr>
  </w:style>
  <w:style w:type="paragraph" w:styleId="ListParagraph">
    <w:name w:val="List Paragraph"/>
    <w:basedOn w:val="Normal"/>
    <w:uiPriority w:val="34"/>
    <w:qFormat/>
    <w:rsid w:val="000F3137"/>
    <w:pPr>
      <w:ind w:left="720"/>
      <w:contextualSpacing/>
    </w:pPr>
  </w:style>
  <w:style w:type="character" w:styleId="IntenseEmphasis">
    <w:name w:val="Intense Emphasis"/>
    <w:basedOn w:val="DefaultParagraphFont"/>
    <w:uiPriority w:val="21"/>
    <w:qFormat/>
    <w:rsid w:val="000F3137"/>
    <w:rPr>
      <w:i/>
      <w:iCs/>
      <w:color w:val="2F5496" w:themeColor="accent1" w:themeShade="BF"/>
    </w:rPr>
  </w:style>
  <w:style w:type="paragraph" w:styleId="IntenseQuote">
    <w:name w:val="Intense Quote"/>
    <w:basedOn w:val="Normal"/>
    <w:next w:val="Normal"/>
    <w:link w:val="IntenseQuoteChar"/>
    <w:uiPriority w:val="30"/>
    <w:qFormat/>
    <w:rsid w:val="000F3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137"/>
    <w:rPr>
      <w:i/>
      <w:iCs/>
      <w:color w:val="2F5496" w:themeColor="accent1" w:themeShade="BF"/>
    </w:rPr>
  </w:style>
  <w:style w:type="character" w:styleId="IntenseReference">
    <w:name w:val="Intense Reference"/>
    <w:basedOn w:val="DefaultParagraphFont"/>
    <w:uiPriority w:val="32"/>
    <w:qFormat/>
    <w:rsid w:val="000F3137"/>
    <w:rPr>
      <w:b/>
      <w:bCs/>
      <w:smallCaps/>
      <w:color w:val="2F5496" w:themeColor="accent1" w:themeShade="BF"/>
      <w:spacing w:val="5"/>
    </w:rPr>
  </w:style>
  <w:style w:type="paragraph" w:styleId="Footer">
    <w:name w:val="footer"/>
    <w:basedOn w:val="Normal"/>
    <w:link w:val="FooterChar"/>
    <w:uiPriority w:val="99"/>
    <w:unhideWhenUsed/>
    <w:rsid w:val="000F3137"/>
    <w:pPr>
      <w:tabs>
        <w:tab w:val="center" w:pos="4513"/>
        <w:tab w:val="right" w:pos="9026"/>
      </w:tabs>
    </w:pPr>
  </w:style>
  <w:style w:type="character" w:customStyle="1" w:styleId="FooterChar">
    <w:name w:val="Footer Char"/>
    <w:basedOn w:val="DefaultParagraphFont"/>
    <w:link w:val="Footer"/>
    <w:uiPriority w:val="99"/>
    <w:rsid w:val="000F3137"/>
  </w:style>
  <w:style w:type="character" w:styleId="PageNumber">
    <w:name w:val="page number"/>
    <w:basedOn w:val="DefaultParagraphFont"/>
    <w:uiPriority w:val="99"/>
    <w:semiHidden/>
    <w:unhideWhenUsed/>
    <w:rsid w:val="000F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583</Words>
  <Characters>3338</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Eves</dc:creator>
  <cp:keywords/>
  <dc:description/>
  <cp:lastModifiedBy>Peter Eves</cp:lastModifiedBy>
  <cp:revision>2</cp:revision>
  <cp:lastPrinted>2025-12-11T19:01:00Z</cp:lastPrinted>
  <dcterms:created xsi:type="dcterms:W3CDTF">2025-12-11T18:39:00Z</dcterms:created>
  <dcterms:modified xsi:type="dcterms:W3CDTF">2025-12-11T19:04:00Z</dcterms:modified>
  <cp:category/>
</cp:coreProperties>
</file>