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66C3" w14:textId="77777777" w:rsidR="00904544" w:rsidRDefault="00904544"/>
    <w:p w14:paraId="1C9D66C4" w14:textId="66881C38" w:rsidR="009A04A5" w:rsidRDefault="009A04A5">
      <w:pPr>
        <w:rPr>
          <w:b/>
        </w:rPr>
      </w:pPr>
      <w:r w:rsidRPr="00E65A5A">
        <w:rPr>
          <w:b/>
        </w:rPr>
        <w:t>Explanation of variances Ashen PC 20</w:t>
      </w:r>
      <w:r w:rsidR="00091551">
        <w:rPr>
          <w:b/>
        </w:rPr>
        <w:t>2</w:t>
      </w:r>
      <w:r w:rsidR="009A5161">
        <w:rPr>
          <w:b/>
        </w:rPr>
        <w:t>4</w:t>
      </w:r>
      <w:r w:rsidR="003A5E48">
        <w:rPr>
          <w:b/>
        </w:rPr>
        <w:t>/5</w:t>
      </w:r>
    </w:p>
    <w:p w14:paraId="1C9D66C5" w14:textId="75094B99" w:rsidR="009A04A5" w:rsidRPr="001A571F" w:rsidRDefault="001A571F">
      <w:pPr>
        <w:rPr>
          <w:bCs/>
        </w:rPr>
      </w:pPr>
      <w:r w:rsidRPr="001A571F">
        <w:rPr>
          <w:bCs/>
        </w:rPr>
        <w:t>(</w:t>
      </w:r>
      <w:r w:rsidR="000205C2" w:rsidRPr="001A571F">
        <w:rPr>
          <w:bCs/>
        </w:rPr>
        <w:t xml:space="preserve">Variances  </w:t>
      </w:r>
      <w:r w:rsidR="00520E90" w:rsidRPr="001A571F">
        <w:rPr>
          <w:bCs/>
        </w:rPr>
        <w:t>over 15% or £200 or greater</w:t>
      </w:r>
      <w:r w:rsidRPr="001A571F">
        <w:rPr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3"/>
        <w:gridCol w:w="1431"/>
        <w:gridCol w:w="1350"/>
        <w:gridCol w:w="1242"/>
        <w:gridCol w:w="1378"/>
        <w:gridCol w:w="2252"/>
      </w:tblGrid>
      <w:tr w:rsidR="0091706A" w14:paraId="1C9D66D0" w14:textId="77777777" w:rsidTr="001E2C82">
        <w:tc>
          <w:tcPr>
            <w:tcW w:w="1363" w:type="dxa"/>
          </w:tcPr>
          <w:p w14:paraId="1C9D66C6" w14:textId="1F782376" w:rsidR="00270531" w:rsidRDefault="00270531"/>
        </w:tc>
        <w:tc>
          <w:tcPr>
            <w:tcW w:w="1431" w:type="dxa"/>
          </w:tcPr>
          <w:p w14:paraId="1C9D66C7" w14:textId="209ECD2A" w:rsidR="00270531" w:rsidRDefault="00270531">
            <w:r>
              <w:t>20</w:t>
            </w:r>
            <w:r w:rsidR="001A571F">
              <w:t>2</w:t>
            </w:r>
            <w:r w:rsidR="00C36A73">
              <w:t>3</w:t>
            </w:r>
            <w:r w:rsidR="003A5E48">
              <w:t>/4</w:t>
            </w:r>
          </w:p>
          <w:p w14:paraId="1C9D66C8" w14:textId="77777777" w:rsidR="00270531" w:rsidRDefault="00270531">
            <w:r>
              <w:t>£</w:t>
            </w:r>
          </w:p>
        </w:tc>
        <w:tc>
          <w:tcPr>
            <w:tcW w:w="1350" w:type="dxa"/>
          </w:tcPr>
          <w:p w14:paraId="1C9D66C9" w14:textId="1C4F4281" w:rsidR="00270531" w:rsidRDefault="00D47D9C" w:rsidP="00BB60B0">
            <w:r>
              <w:t>20</w:t>
            </w:r>
            <w:r w:rsidR="002231AF">
              <w:t>2</w:t>
            </w:r>
            <w:r w:rsidR="00C36A73">
              <w:t>4</w:t>
            </w:r>
            <w:r w:rsidR="003A5E48">
              <w:t>/5</w:t>
            </w:r>
          </w:p>
          <w:p w14:paraId="1C9D66CA" w14:textId="77777777" w:rsidR="00270531" w:rsidRDefault="00270531" w:rsidP="00BB60B0">
            <w:r>
              <w:t>£</w:t>
            </w:r>
          </w:p>
        </w:tc>
        <w:tc>
          <w:tcPr>
            <w:tcW w:w="1242" w:type="dxa"/>
          </w:tcPr>
          <w:p w14:paraId="1C9D66CB" w14:textId="77777777" w:rsidR="00270531" w:rsidRDefault="00270531">
            <w:r>
              <w:t>Difference</w:t>
            </w:r>
          </w:p>
          <w:p w14:paraId="1C9D66CC" w14:textId="77777777" w:rsidR="00270531" w:rsidRDefault="00270531">
            <w:r>
              <w:t>£</w:t>
            </w:r>
          </w:p>
        </w:tc>
        <w:tc>
          <w:tcPr>
            <w:tcW w:w="1378" w:type="dxa"/>
          </w:tcPr>
          <w:p w14:paraId="1C9D66CD" w14:textId="77777777" w:rsidR="00270531" w:rsidRDefault="00270531">
            <w:r>
              <w:t xml:space="preserve">Variance </w:t>
            </w:r>
          </w:p>
          <w:p w14:paraId="1C9D66CE" w14:textId="77777777" w:rsidR="00270531" w:rsidRDefault="00270531">
            <w:r>
              <w:t>%</w:t>
            </w:r>
          </w:p>
        </w:tc>
        <w:tc>
          <w:tcPr>
            <w:tcW w:w="2252" w:type="dxa"/>
          </w:tcPr>
          <w:p w14:paraId="1C9D66CF" w14:textId="77777777" w:rsidR="00270531" w:rsidRDefault="00270531">
            <w:r>
              <w:t>Explanation</w:t>
            </w:r>
          </w:p>
        </w:tc>
      </w:tr>
      <w:tr w:rsidR="00BC6303" w14:paraId="42635A47" w14:textId="77777777" w:rsidTr="001E2C82">
        <w:tc>
          <w:tcPr>
            <w:tcW w:w="1363" w:type="dxa"/>
          </w:tcPr>
          <w:p w14:paraId="215A27CA" w14:textId="344EA4DB" w:rsidR="00BC6303" w:rsidRDefault="00060BD3" w:rsidP="007235E8">
            <w:r>
              <w:t xml:space="preserve">Box </w:t>
            </w:r>
            <w:r w:rsidR="003A5E48">
              <w:t>2</w:t>
            </w:r>
          </w:p>
          <w:p w14:paraId="01F3D90E" w14:textId="36C38F59" w:rsidR="00060BD3" w:rsidRDefault="003A5E48" w:rsidP="007235E8">
            <w:r>
              <w:t>Precept</w:t>
            </w:r>
          </w:p>
        </w:tc>
        <w:tc>
          <w:tcPr>
            <w:tcW w:w="1431" w:type="dxa"/>
          </w:tcPr>
          <w:p w14:paraId="02DA93DB" w14:textId="2D182C80" w:rsidR="00BC6303" w:rsidRDefault="003A5E48" w:rsidP="007235E8">
            <w:r>
              <w:t>6060</w:t>
            </w:r>
          </w:p>
        </w:tc>
        <w:tc>
          <w:tcPr>
            <w:tcW w:w="1350" w:type="dxa"/>
          </w:tcPr>
          <w:p w14:paraId="1666DAA8" w14:textId="4FAEB4D9" w:rsidR="00BC6303" w:rsidRDefault="003A5E48" w:rsidP="007235E8">
            <w:r>
              <w:t>6335</w:t>
            </w:r>
          </w:p>
        </w:tc>
        <w:tc>
          <w:tcPr>
            <w:tcW w:w="1242" w:type="dxa"/>
          </w:tcPr>
          <w:p w14:paraId="02DF1BF3" w14:textId="058EFC77" w:rsidR="00BC6303" w:rsidRDefault="000F55EC" w:rsidP="007235E8">
            <w:r>
              <w:t>2</w:t>
            </w:r>
            <w:r w:rsidR="003A5E48">
              <w:t>75</w:t>
            </w:r>
          </w:p>
        </w:tc>
        <w:tc>
          <w:tcPr>
            <w:tcW w:w="1378" w:type="dxa"/>
          </w:tcPr>
          <w:p w14:paraId="443FD89E" w14:textId="388B531E" w:rsidR="00BC6303" w:rsidRDefault="003A5E48" w:rsidP="00B0423E">
            <w:r>
              <w:t>4.5%</w:t>
            </w:r>
          </w:p>
        </w:tc>
        <w:tc>
          <w:tcPr>
            <w:tcW w:w="2252" w:type="dxa"/>
          </w:tcPr>
          <w:p w14:paraId="6065F48B" w14:textId="0A31E24E" w:rsidR="00BC6303" w:rsidRDefault="003A5E48" w:rsidP="007235E8">
            <w:r>
              <w:t>To cover increase in litter picking and other wage increases</w:t>
            </w:r>
          </w:p>
        </w:tc>
      </w:tr>
      <w:tr w:rsidR="0091706A" w14:paraId="0082DE0C" w14:textId="77777777" w:rsidTr="001E2C82">
        <w:tc>
          <w:tcPr>
            <w:tcW w:w="1363" w:type="dxa"/>
          </w:tcPr>
          <w:p w14:paraId="4C2B146B" w14:textId="63C1AF9A" w:rsidR="00C91F26" w:rsidRDefault="007235E8" w:rsidP="007235E8">
            <w:r>
              <w:t xml:space="preserve">Box </w:t>
            </w:r>
            <w:r w:rsidR="003A5E48">
              <w:t>3</w:t>
            </w:r>
          </w:p>
          <w:p w14:paraId="0FBFF20E" w14:textId="7A1C4448" w:rsidR="007235E8" w:rsidRDefault="000920F6" w:rsidP="007235E8">
            <w:r>
              <w:t xml:space="preserve">All other </w:t>
            </w:r>
            <w:r w:rsidR="003A5E48">
              <w:t>receipts</w:t>
            </w:r>
          </w:p>
        </w:tc>
        <w:tc>
          <w:tcPr>
            <w:tcW w:w="1431" w:type="dxa"/>
          </w:tcPr>
          <w:p w14:paraId="51B5B92F" w14:textId="1D9FDD39" w:rsidR="007235E8" w:rsidRDefault="003A5E48" w:rsidP="007235E8">
            <w:r>
              <w:t>1788</w:t>
            </w:r>
          </w:p>
        </w:tc>
        <w:tc>
          <w:tcPr>
            <w:tcW w:w="1350" w:type="dxa"/>
          </w:tcPr>
          <w:p w14:paraId="438E1F75" w14:textId="4EC2DAD1" w:rsidR="007235E8" w:rsidRDefault="003A5E48" w:rsidP="007235E8">
            <w:r>
              <w:t>1436</w:t>
            </w:r>
          </w:p>
        </w:tc>
        <w:tc>
          <w:tcPr>
            <w:tcW w:w="1242" w:type="dxa"/>
          </w:tcPr>
          <w:p w14:paraId="3E59AE1C" w14:textId="584052E7" w:rsidR="007235E8" w:rsidRDefault="003A5E48" w:rsidP="007235E8">
            <w:r>
              <w:t>352</w:t>
            </w:r>
          </w:p>
        </w:tc>
        <w:tc>
          <w:tcPr>
            <w:tcW w:w="1378" w:type="dxa"/>
          </w:tcPr>
          <w:p w14:paraId="11794383" w14:textId="7EE48CDA" w:rsidR="007235E8" w:rsidRDefault="003A5E48" w:rsidP="00B0423E">
            <w:r>
              <w:t>-20%</w:t>
            </w:r>
          </w:p>
        </w:tc>
        <w:tc>
          <w:tcPr>
            <w:tcW w:w="2252" w:type="dxa"/>
          </w:tcPr>
          <w:p w14:paraId="741FBC2C" w14:textId="49391FB5" w:rsidR="007235E8" w:rsidRDefault="00B03E04" w:rsidP="007235E8">
            <w:r>
              <w:t>One-off £500 contribution to legal costs in 2023/4 partly offset by increase of £148</w:t>
            </w:r>
          </w:p>
        </w:tc>
      </w:tr>
      <w:tr w:rsidR="00B03E04" w14:paraId="2C51D197" w14:textId="77777777" w:rsidTr="001E2C82">
        <w:tc>
          <w:tcPr>
            <w:tcW w:w="1363" w:type="dxa"/>
          </w:tcPr>
          <w:p w14:paraId="674315A9" w14:textId="0CC931F1" w:rsidR="00B03E04" w:rsidRDefault="00B03E04" w:rsidP="007235E8">
            <w:r>
              <w:t>Box 4 Staff costs</w:t>
            </w:r>
          </w:p>
        </w:tc>
        <w:tc>
          <w:tcPr>
            <w:tcW w:w="1431" w:type="dxa"/>
          </w:tcPr>
          <w:p w14:paraId="13A2E970" w14:textId="6C9DEBEF" w:rsidR="00B03E04" w:rsidRDefault="00B03E04" w:rsidP="007235E8">
            <w:r>
              <w:t>749</w:t>
            </w:r>
          </w:p>
        </w:tc>
        <w:tc>
          <w:tcPr>
            <w:tcW w:w="1350" w:type="dxa"/>
          </w:tcPr>
          <w:p w14:paraId="6BE21685" w14:textId="7E333CE5" w:rsidR="00B03E04" w:rsidRDefault="00B03E04" w:rsidP="007235E8">
            <w:r>
              <w:t>1040</w:t>
            </w:r>
          </w:p>
        </w:tc>
        <w:tc>
          <w:tcPr>
            <w:tcW w:w="1242" w:type="dxa"/>
          </w:tcPr>
          <w:p w14:paraId="5B86EC4B" w14:textId="0FA6C552" w:rsidR="00B03E04" w:rsidRDefault="00B03E04" w:rsidP="007235E8">
            <w:r>
              <w:t>291</w:t>
            </w:r>
          </w:p>
        </w:tc>
        <w:tc>
          <w:tcPr>
            <w:tcW w:w="1378" w:type="dxa"/>
          </w:tcPr>
          <w:p w14:paraId="6223DC60" w14:textId="03B96FA4" w:rsidR="00B03E04" w:rsidRDefault="00B03E04" w:rsidP="00B0423E">
            <w:r>
              <w:t>39%</w:t>
            </w:r>
          </w:p>
        </w:tc>
        <w:tc>
          <w:tcPr>
            <w:tcW w:w="2252" w:type="dxa"/>
          </w:tcPr>
          <w:p w14:paraId="14CA34A1" w14:textId="68CAF225" w:rsidR="00B03E04" w:rsidRDefault="00215C97" w:rsidP="007235E8">
            <w:r>
              <w:t>The 2024 figure appears to have omitted an item of £265 from the staff costs with the balance accounted for by the annual wage increase</w:t>
            </w:r>
          </w:p>
        </w:tc>
      </w:tr>
      <w:tr w:rsidR="0023215B" w14:paraId="0990FBBB" w14:textId="77777777" w:rsidTr="001E2C82">
        <w:tc>
          <w:tcPr>
            <w:tcW w:w="1363" w:type="dxa"/>
          </w:tcPr>
          <w:p w14:paraId="12DEBEBD" w14:textId="0C0880DB" w:rsidR="0023215B" w:rsidRDefault="0023215B" w:rsidP="007235E8">
            <w:r>
              <w:t>Box 7 Balances carried forward</w:t>
            </w:r>
          </w:p>
        </w:tc>
        <w:tc>
          <w:tcPr>
            <w:tcW w:w="1431" w:type="dxa"/>
          </w:tcPr>
          <w:p w14:paraId="0648271D" w14:textId="378FDE20" w:rsidR="0023215B" w:rsidRDefault="0023215B" w:rsidP="007235E8">
            <w:r>
              <w:t>4103</w:t>
            </w:r>
          </w:p>
        </w:tc>
        <w:tc>
          <w:tcPr>
            <w:tcW w:w="1350" w:type="dxa"/>
          </w:tcPr>
          <w:p w14:paraId="19113DD5" w14:textId="16442592" w:rsidR="0023215B" w:rsidRDefault="0023215B" w:rsidP="007235E8">
            <w:r>
              <w:t>3715</w:t>
            </w:r>
          </w:p>
        </w:tc>
        <w:tc>
          <w:tcPr>
            <w:tcW w:w="1242" w:type="dxa"/>
          </w:tcPr>
          <w:p w14:paraId="457DD3FE" w14:textId="4605AF2A" w:rsidR="0023215B" w:rsidRDefault="0023215B" w:rsidP="007235E8">
            <w:r>
              <w:t>-388</w:t>
            </w:r>
          </w:p>
        </w:tc>
        <w:tc>
          <w:tcPr>
            <w:tcW w:w="1378" w:type="dxa"/>
          </w:tcPr>
          <w:p w14:paraId="073A9949" w14:textId="0AAC4568" w:rsidR="0023215B" w:rsidRDefault="0023215B" w:rsidP="00B0423E">
            <w:r>
              <w:t>-9%</w:t>
            </w:r>
          </w:p>
        </w:tc>
        <w:tc>
          <w:tcPr>
            <w:tcW w:w="2252" w:type="dxa"/>
          </w:tcPr>
          <w:p w14:paraId="6E17291C" w14:textId="5C04CC03" w:rsidR="0023215B" w:rsidRDefault="0023215B" w:rsidP="007235E8">
            <w:r>
              <w:t xml:space="preserve">While total receipts for the year remained broadly unchanged, payments increased by £477, largely made up by increases in </w:t>
            </w:r>
            <w:r w:rsidR="00D74FBA">
              <w:t xml:space="preserve">maintenance </w:t>
            </w:r>
            <w:r>
              <w:t xml:space="preserve">costs, </w:t>
            </w:r>
            <w:r w:rsidR="00D74FBA">
              <w:t xml:space="preserve">the </w:t>
            </w:r>
            <w:r>
              <w:t xml:space="preserve">insurance premium and wages. </w:t>
            </w:r>
          </w:p>
        </w:tc>
      </w:tr>
      <w:tr w:rsidR="00D74FBA" w14:paraId="59D234ED" w14:textId="77777777" w:rsidTr="001E2C82">
        <w:tc>
          <w:tcPr>
            <w:tcW w:w="1363" w:type="dxa"/>
          </w:tcPr>
          <w:p w14:paraId="6B58082C" w14:textId="77777777" w:rsidR="00D74FBA" w:rsidRDefault="00D74FBA" w:rsidP="007235E8">
            <w:r>
              <w:t>Box 8</w:t>
            </w:r>
          </w:p>
          <w:p w14:paraId="56FF3D57" w14:textId="4A46DF59" w:rsidR="00D74FBA" w:rsidRDefault="00D74FBA" w:rsidP="007235E8">
            <w:r>
              <w:t>Total value of cash and investments</w:t>
            </w:r>
          </w:p>
        </w:tc>
        <w:tc>
          <w:tcPr>
            <w:tcW w:w="1431" w:type="dxa"/>
          </w:tcPr>
          <w:p w14:paraId="18E11B5C" w14:textId="2F7DF3D0" w:rsidR="00D74FBA" w:rsidRDefault="00D74FBA" w:rsidP="007235E8">
            <w:r>
              <w:t>4103</w:t>
            </w:r>
          </w:p>
        </w:tc>
        <w:tc>
          <w:tcPr>
            <w:tcW w:w="1350" w:type="dxa"/>
          </w:tcPr>
          <w:p w14:paraId="0EE3495A" w14:textId="2CDD5FB7" w:rsidR="00D74FBA" w:rsidRDefault="00D74FBA" w:rsidP="007235E8">
            <w:r>
              <w:t>3715</w:t>
            </w:r>
          </w:p>
        </w:tc>
        <w:tc>
          <w:tcPr>
            <w:tcW w:w="1242" w:type="dxa"/>
          </w:tcPr>
          <w:p w14:paraId="4081CCA0" w14:textId="300EB2D9" w:rsidR="00D74FBA" w:rsidRDefault="00D74FBA" w:rsidP="007235E8">
            <w:r>
              <w:t>-388</w:t>
            </w:r>
          </w:p>
        </w:tc>
        <w:tc>
          <w:tcPr>
            <w:tcW w:w="1378" w:type="dxa"/>
          </w:tcPr>
          <w:p w14:paraId="4E93E22D" w14:textId="181DD0FB" w:rsidR="00D74FBA" w:rsidRDefault="00D74FBA" w:rsidP="00B0423E">
            <w:r>
              <w:t>-9%</w:t>
            </w:r>
          </w:p>
        </w:tc>
        <w:tc>
          <w:tcPr>
            <w:tcW w:w="2252" w:type="dxa"/>
          </w:tcPr>
          <w:p w14:paraId="1A58C033" w14:textId="3C27E06D" w:rsidR="00D74FBA" w:rsidRDefault="00D74FBA" w:rsidP="007235E8">
            <w:r>
              <w:t>As above</w:t>
            </w:r>
          </w:p>
        </w:tc>
      </w:tr>
    </w:tbl>
    <w:p w14:paraId="1C9D66D8" w14:textId="77777777" w:rsidR="00BB60B0" w:rsidRDefault="00BB60B0"/>
    <w:p w14:paraId="1C9D66D9" w14:textId="77777777" w:rsidR="00A45F98" w:rsidRDefault="00A45F98"/>
    <w:p w14:paraId="1C9D66DA" w14:textId="77777777" w:rsidR="006111DB" w:rsidRDefault="006111DB"/>
    <w:p w14:paraId="1C9D66DB" w14:textId="77777777" w:rsidR="00D07C14" w:rsidRDefault="00D07C14"/>
    <w:sectPr w:rsidR="00D07C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756C5"/>
    <w:multiLevelType w:val="hybridMultilevel"/>
    <w:tmpl w:val="7DEA163E"/>
    <w:lvl w:ilvl="0" w:tplc="D56AE3D8">
      <w:start w:val="3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40740"/>
    <w:multiLevelType w:val="hybridMultilevel"/>
    <w:tmpl w:val="903E13BA"/>
    <w:lvl w:ilvl="0" w:tplc="B6AEE4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33C45"/>
    <w:multiLevelType w:val="hybridMultilevel"/>
    <w:tmpl w:val="149AAF00"/>
    <w:lvl w:ilvl="0" w:tplc="B156E7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CC746E"/>
    <w:multiLevelType w:val="hybridMultilevel"/>
    <w:tmpl w:val="FD400CEC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2484483">
    <w:abstractNumId w:val="3"/>
  </w:num>
  <w:num w:numId="2" w16cid:durableId="1194148464">
    <w:abstractNumId w:val="2"/>
  </w:num>
  <w:num w:numId="3" w16cid:durableId="198933043">
    <w:abstractNumId w:val="1"/>
  </w:num>
  <w:num w:numId="4" w16cid:durableId="333922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4A5"/>
    <w:rsid w:val="000205C2"/>
    <w:rsid w:val="00026C06"/>
    <w:rsid w:val="00033926"/>
    <w:rsid w:val="00033CD6"/>
    <w:rsid w:val="000436DE"/>
    <w:rsid w:val="00057D7D"/>
    <w:rsid w:val="00060BD3"/>
    <w:rsid w:val="00071B57"/>
    <w:rsid w:val="00082585"/>
    <w:rsid w:val="00091551"/>
    <w:rsid w:val="000920F6"/>
    <w:rsid w:val="00097626"/>
    <w:rsid w:val="000D1F93"/>
    <w:rsid w:val="000D5FFB"/>
    <w:rsid w:val="000F37F8"/>
    <w:rsid w:val="000F55EC"/>
    <w:rsid w:val="0013624D"/>
    <w:rsid w:val="001507C1"/>
    <w:rsid w:val="00152F23"/>
    <w:rsid w:val="001615BE"/>
    <w:rsid w:val="00167A8E"/>
    <w:rsid w:val="001709DC"/>
    <w:rsid w:val="00174D00"/>
    <w:rsid w:val="00175092"/>
    <w:rsid w:val="00192C1D"/>
    <w:rsid w:val="001948CD"/>
    <w:rsid w:val="001A2A3C"/>
    <w:rsid w:val="001A571F"/>
    <w:rsid w:val="001B0A43"/>
    <w:rsid w:val="001D697C"/>
    <w:rsid w:val="001E2C82"/>
    <w:rsid w:val="001E3258"/>
    <w:rsid w:val="00215C97"/>
    <w:rsid w:val="00222316"/>
    <w:rsid w:val="002231AF"/>
    <w:rsid w:val="00227BBD"/>
    <w:rsid w:val="0023215B"/>
    <w:rsid w:val="00240DDD"/>
    <w:rsid w:val="00241756"/>
    <w:rsid w:val="00264E19"/>
    <w:rsid w:val="00270531"/>
    <w:rsid w:val="00271BA9"/>
    <w:rsid w:val="00291CCF"/>
    <w:rsid w:val="002B1B63"/>
    <w:rsid w:val="002C136F"/>
    <w:rsid w:val="002D04D7"/>
    <w:rsid w:val="002D116C"/>
    <w:rsid w:val="002E5A43"/>
    <w:rsid w:val="002E5E68"/>
    <w:rsid w:val="002F0F2B"/>
    <w:rsid w:val="002F6AD7"/>
    <w:rsid w:val="002F786B"/>
    <w:rsid w:val="00332A6F"/>
    <w:rsid w:val="00336A42"/>
    <w:rsid w:val="00347C90"/>
    <w:rsid w:val="00355964"/>
    <w:rsid w:val="00392A12"/>
    <w:rsid w:val="003A5E48"/>
    <w:rsid w:val="003A6713"/>
    <w:rsid w:val="003B22AA"/>
    <w:rsid w:val="003F7A33"/>
    <w:rsid w:val="00400560"/>
    <w:rsid w:val="00422CF6"/>
    <w:rsid w:val="00426DBF"/>
    <w:rsid w:val="0044279B"/>
    <w:rsid w:val="00461803"/>
    <w:rsid w:val="004A7761"/>
    <w:rsid w:val="004E128E"/>
    <w:rsid w:val="004E2046"/>
    <w:rsid w:val="00502D0C"/>
    <w:rsid w:val="00512B73"/>
    <w:rsid w:val="00520E90"/>
    <w:rsid w:val="00536A8F"/>
    <w:rsid w:val="00540C79"/>
    <w:rsid w:val="0057021F"/>
    <w:rsid w:val="0057242F"/>
    <w:rsid w:val="005B2248"/>
    <w:rsid w:val="005D23B8"/>
    <w:rsid w:val="005E5D59"/>
    <w:rsid w:val="006111DB"/>
    <w:rsid w:val="0061249A"/>
    <w:rsid w:val="00622F75"/>
    <w:rsid w:val="0063043A"/>
    <w:rsid w:val="00645DCC"/>
    <w:rsid w:val="00654B3A"/>
    <w:rsid w:val="006772E1"/>
    <w:rsid w:val="00682EAF"/>
    <w:rsid w:val="006922F8"/>
    <w:rsid w:val="006974F0"/>
    <w:rsid w:val="00697A33"/>
    <w:rsid w:val="00697DE2"/>
    <w:rsid w:val="006A124E"/>
    <w:rsid w:val="006A5EE4"/>
    <w:rsid w:val="006A659A"/>
    <w:rsid w:val="006A670D"/>
    <w:rsid w:val="006B592B"/>
    <w:rsid w:val="006C5AC7"/>
    <w:rsid w:val="006D7FC7"/>
    <w:rsid w:val="006E5B0D"/>
    <w:rsid w:val="00712C82"/>
    <w:rsid w:val="007235E8"/>
    <w:rsid w:val="00724260"/>
    <w:rsid w:val="00727530"/>
    <w:rsid w:val="00754108"/>
    <w:rsid w:val="0076411A"/>
    <w:rsid w:val="00790003"/>
    <w:rsid w:val="0079075B"/>
    <w:rsid w:val="00791EFE"/>
    <w:rsid w:val="007A04E4"/>
    <w:rsid w:val="007A68D6"/>
    <w:rsid w:val="007B7E1B"/>
    <w:rsid w:val="007C23BC"/>
    <w:rsid w:val="007D20CA"/>
    <w:rsid w:val="007D5E26"/>
    <w:rsid w:val="007E0760"/>
    <w:rsid w:val="007F64F5"/>
    <w:rsid w:val="00801240"/>
    <w:rsid w:val="00801FF7"/>
    <w:rsid w:val="00806CC5"/>
    <w:rsid w:val="00810210"/>
    <w:rsid w:val="00833177"/>
    <w:rsid w:val="008336FC"/>
    <w:rsid w:val="00837824"/>
    <w:rsid w:val="008462BE"/>
    <w:rsid w:val="00856F3F"/>
    <w:rsid w:val="00865534"/>
    <w:rsid w:val="00865C7B"/>
    <w:rsid w:val="0087029A"/>
    <w:rsid w:val="00871468"/>
    <w:rsid w:val="0087623E"/>
    <w:rsid w:val="008866DA"/>
    <w:rsid w:val="00887BA4"/>
    <w:rsid w:val="008A5DD1"/>
    <w:rsid w:val="008B2F09"/>
    <w:rsid w:val="008C2C2B"/>
    <w:rsid w:val="008D03DE"/>
    <w:rsid w:val="008D14E0"/>
    <w:rsid w:val="008E00A6"/>
    <w:rsid w:val="008E0C54"/>
    <w:rsid w:val="008F2E70"/>
    <w:rsid w:val="00904544"/>
    <w:rsid w:val="00907115"/>
    <w:rsid w:val="0091706A"/>
    <w:rsid w:val="00917501"/>
    <w:rsid w:val="0092543D"/>
    <w:rsid w:val="00945A9D"/>
    <w:rsid w:val="0096175B"/>
    <w:rsid w:val="00962B4E"/>
    <w:rsid w:val="00996465"/>
    <w:rsid w:val="009A03D1"/>
    <w:rsid w:val="009A04A5"/>
    <w:rsid w:val="009A5161"/>
    <w:rsid w:val="009C4B47"/>
    <w:rsid w:val="009E23D8"/>
    <w:rsid w:val="009E28A8"/>
    <w:rsid w:val="009E4C5E"/>
    <w:rsid w:val="009E5C55"/>
    <w:rsid w:val="009E7476"/>
    <w:rsid w:val="00A14999"/>
    <w:rsid w:val="00A17129"/>
    <w:rsid w:val="00A45F98"/>
    <w:rsid w:val="00A60E28"/>
    <w:rsid w:val="00A7019B"/>
    <w:rsid w:val="00A749EF"/>
    <w:rsid w:val="00A8256D"/>
    <w:rsid w:val="00A908D5"/>
    <w:rsid w:val="00A9392E"/>
    <w:rsid w:val="00AA0715"/>
    <w:rsid w:val="00AA0E74"/>
    <w:rsid w:val="00AC38D9"/>
    <w:rsid w:val="00AC7340"/>
    <w:rsid w:val="00AE5E20"/>
    <w:rsid w:val="00AF4D9A"/>
    <w:rsid w:val="00B03E04"/>
    <w:rsid w:val="00B0423E"/>
    <w:rsid w:val="00B171DA"/>
    <w:rsid w:val="00B23182"/>
    <w:rsid w:val="00B25AD6"/>
    <w:rsid w:val="00B33016"/>
    <w:rsid w:val="00B37A8A"/>
    <w:rsid w:val="00B45534"/>
    <w:rsid w:val="00B47A1C"/>
    <w:rsid w:val="00B65C1F"/>
    <w:rsid w:val="00B66762"/>
    <w:rsid w:val="00B73C4B"/>
    <w:rsid w:val="00B801D9"/>
    <w:rsid w:val="00B86BE6"/>
    <w:rsid w:val="00B8787E"/>
    <w:rsid w:val="00B950DB"/>
    <w:rsid w:val="00B959C1"/>
    <w:rsid w:val="00B9694D"/>
    <w:rsid w:val="00BA1567"/>
    <w:rsid w:val="00BB173A"/>
    <w:rsid w:val="00BB60B0"/>
    <w:rsid w:val="00BC6303"/>
    <w:rsid w:val="00BD0F20"/>
    <w:rsid w:val="00BE0CAA"/>
    <w:rsid w:val="00BE33B9"/>
    <w:rsid w:val="00BF1C05"/>
    <w:rsid w:val="00BF3D01"/>
    <w:rsid w:val="00BF4C3B"/>
    <w:rsid w:val="00C1167B"/>
    <w:rsid w:val="00C13412"/>
    <w:rsid w:val="00C13A46"/>
    <w:rsid w:val="00C14F63"/>
    <w:rsid w:val="00C21744"/>
    <w:rsid w:val="00C23D37"/>
    <w:rsid w:val="00C27B52"/>
    <w:rsid w:val="00C32BD0"/>
    <w:rsid w:val="00C3328D"/>
    <w:rsid w:val="00C36A73"/>
    <w:rsid w:val="00C40F77"/>
    <w:rsid w:val="00C43E5A"/>
    <w:rsid w:val="00C44A79"/>
    <w:rsid w:val="00C5663E"/>
    <w:rsid w:val="00C636F7"/>
    <w:rsid w:val="00C773F1"/>
    <w:rsid w:val="00C852EF"/>
    <w:rsid w:val="00C91F26"/>
    <w:rsid w:val="00C94BFC"/>
    <w:rsid w:val="00CA5474"/>
    <w:rsid w:val="00CB3DA7"/>
    <w:rsid w:val="00CB5D83"/>
    <w:rsid w:val="00CB791C"/>
    <w:rsid w:val="00CB7B5B"/>
    <w:rsid w:val="00CC109B"/>
    <w:rsid w:val="00CC589B"/>
    <w:rsid w:val="00CF29BD"/>
    <w:rsid w:val="00CF736C"/>
    <w:rsid w:val="00CF7E1C"/>
    <w:rsid w:val="00D079E9"/>
    <w:rsid w:val="00D07C14"/>
    <w:rsid w:val="00D10EE1"/>
    <w:rsid w:val="00D273EA"/>
    <w:rsid w:val="00D47D9C"/>
    <w:rsid w:val="00D57485"/>
    <w:rsid w:val="00D60449"/>
    <w:rsid w:val="00D660FE"/>
    <w:rsid w:val="00D74FBA"/>
    <w:rsid w:val="00D8063B"/>
    <w:rsid w:val="00D879BA"/>
    <w:rsid w:val="00DA23CC"/>
    <w:rsid w:val="00DA5073"/>
    <w:rsid w:val="00DA62D8"/>
    <w:rsid w:val="00DB352A"/>
    <w:rsid w:val="00DC4E69"/>
    <w:rsid w:val="00DC4E8F"/>
    <w:rsid w:val="00DD34AA"/>
    <w:rsid w:val="00DE0A0E"/>
    <w:rsid w:val="00DE52DA"/>
    <w:rsid w:val="00E07AF6"/>
    <w:rsid w:val="00E169A8"/>
    <w:rsid w:val="00E27EDB"/>
    <w:rsid w:val="00E41A6E"/>
    <w:rsid w:val="00E65A5A"/>
    <w:rsid w:val="00E8634F"/>
    <w:rsid w:val="00E86B19"/>
    <w:rsid w:val="00E96876"/>
    <w:rsid w:val="00EA7E2F"/>
    <w:rsid w:val="00EB7ADA"/>
    <w:rsid w:val="00EC2A4E"/>
    <w:rsid w:val="00ED0E99"/>
    <w:rsid w:val="00EF3DC2"/>
    <w:rsid w:val="00F0337D"/>
    <w:rsid w:val="00F21CEA"/>
    <w:rsid w:val="00F45336"/>
    <w:rsid w:val="00F51C51"/>
    <w:rsid w:val="00F834DE"/>
    <w:rsid w:val="00FA31BF"/>
    <w:rsid w:val="00FA7CE0"/>
    <w:rsid w:val="00FE27BB"/>
    <w:rsid w:val="00FE3A37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D66C3"/>
  <w15:docId w15:val="{15075C83-D960-47B2-97DB-B1B5EE52D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0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60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E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E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2025-04-28T20:39:00Z</cp:lastPrinted>
  <dcterms:created xsi:type="dcterms:W3CDTF">2025-05-14T15:01:00Z</dcterms:created>
  <dcterms:modified xsi:type="dcterms:W3CDTF">2025-05-14T15:01:00Z</dcterms:modified>
</cp:coreProperties>
</file>