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D66C3" w14:textId="77777777" w:rsidR="00904544" w:rsidRDefault="00904544">
      <w:bookmarkStart w:id="0" w:name="_GoBack"/>
      <w:bookmarkEnd w:id="0"/>
    </w:p>
    <w:p w14:paraId="1C9D66C4" w14:textId="438136BA" w:rsidR="009A04A5" w:rsidRPr="00E65A5A" w:rsidRDefault="009A04A5">
      <w:pPr>
        <w:rPr>
          <w:b/>
        </w:rPr>
      </w:pPr>
      <w:r w:rsidRPr="00E65A5A">
        <w:rPr>
          <w:b/>
        </w:rPr>
        <w:t>Explanation of variances Ashen PC 20</w:t>
      </w:r>
      <w:r w:rsidR="00091551">
        <w:rPr>
          <w:b/>
        </w:rPr>
        <w:t>2</w:t>
      </w:r>
      <w:r w:rsidR="00D10EE1">
        <w:rPr>
          <w:b/>
        </w:rPr>
        <w:t>0/21</w:t>
      </w:r>
    </w:p>
    <w:p w14:paraId="1C9D66C5" w14:textId="77777777" w:rsidR="009A04A5" w:rsidRDefault="009A04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3"/>
        <w:gridCol w:w="1431"/>
        <w:gridCol w:w="1350"/>
        <w:gridCol w:w="1242"/>
        <w:gridCol w:w="1378"/>
        <w:gridCol w:w="2252"/>
      </w:tblGrid>
      <w:tr w:rsidR="0079075B" w14:paraId="1C9D66D0" w14:textId="77777777" w:rsidTr="001E2C82">
        <w:tc>
          <w:tcPr>
            <w:tcW w:w="1363" w:type="dxa"/>
          </w:tcPr>
          <w:p w14:paraId="1C9D66C6" w14:textId="1F782376" w:rsidR="00270531" w:rsidRDefault="00270531"/>
        </w:tc>
        <w:tc>
          <w:tcPr>
            <w:tcW w:w="1431" w:type="dxa"/>
          </w:tcPr>
          <w:p w14:paraId="1C9D66C7" w14:textId="56EDFD72" w:rsidR="00270531" w:rsidRDefault="00270531">
            <w:r>
              <w:t>201</w:t>
            </w:r>
            <w:r w:rsidR="00D10EE1">
              <w:t>9</w:t>
            </w:r>
            <w:r w:rsidR="002231AF">
              <w:t>/</w:t>
            </w:r>
            <w:r w:rsidR="00D10EE1">
              <w:t>20</w:t>
            </w:r>
          </w:p>
          <w:p w14:paraId="1C9D66C8" w14:textId="77777777" w:rsidR="00270531" w:rsidRDefault="00270531">
            <w:r>
              <w:t>£</w:t>
            </w:r>
          </w:p>
        </w:tc>
        <w:tc>
          <w:tcPr>
            <w:tcW w:w="1350" w:type="dxa"/>
          </w:tcPr>
          <w:p w14:paraId="1C9D66C9" w14:textId="3607B90B" w:rsidR="00270531" w:rsidRDefault="00D47D9C" w:rsidP="00BB60B0">
            <w:r>
              <w:t>20</w:t>
            </w:r>
            <w:r w:rsidR="002231AF">
              <w:t>20</w:t>
            </w:r>
            <w:r w:rsidR="00D10EE1">
              <w:t>/21</w:t>
            </w:r>
          </w:p>
          <w:p w14:paraId="1C9D66CA" w14:textId="77777777" w:rsidR="00270531" w:rsidRDefault="00270531" w:rsidP="00BB60B0">
            <w:r>
              <w:t>£</w:t>
            </w:r>
          </w:p>
        </w:tc>
        <w:tc>
          <w:tcPr>
            <w:tcW w:w="1242" w:type="dxa"/>
          </w:tcPr>
          <w:p w14:paraId="1C9D66CB" w14:textId="77777777" w:rsidR="00270531" w:rsidRDefault="00270531">
            <w:r>
              <w:t>Difference</w:t>
            </w:r>
          </w:p>
          <w:p w14:paraId="1C9D66CC" w14:textId="77777777" w:rsidR="00270531" w:rsidRDefault="00270531">
            <w:r>
              <w:t>£</w:t>
            </w:r>
          </w:p>
        </w:tc>
        <w:tc>
          <w:tcPr>
            <w:tcW w:w="1378" w:type="dxa"/>
          </w:tcPr>
          <w:p w14:paraId="1C9D66CD" w14:textId="77777777" w:rsidR="00270531" w:rsidRDefault="00270531">
            <w:r>
              <w:t xml:space="preserve">Variance </w:t>
            </w:r>
          </w:p>
          <w:p w14:paraId="1C9D66CE" w14:textId="77777777" w:rsidR="00270531" w:rsidRDefault="00270531">
            <w:r>
              <w:t>%</w:t>
            </w:r>
          </w:p>
        </w:tc>
        <w:tc>
          <w:tcPr>
            <w:tcW w:w="2252" w:type="dxa"/>
          </w:tcPr>
          <w:p w14:paraId="1C9D66CF" w14:textId="77777777" w:rsidR="00270531" w:rsidRDefault="00270531">
            <w:r>
              <w:t>Explanation</w:t>
            </w:r>
          </w:p>
        </w:tc>
      </w:tr>
      <w:tr w:rsidR="00DC4E69" w14:paraId="1E67C715" w14:textId="77777777" w:rsidTr="001E2C82">
        <w:tc>
          <w:tcPr>
            <w:tcW w:w="1363" w:type="dxa"/>
          </w:tcPr>
          <w:p w14:paraId="008F45AD" w14:textId="6437249C" w:rsidR="00DC4E69" w:rsidRDefault="00DC4E69" w:rsidP="00BB60B0">
            <w:r>
              <w:t>Box 3 Other receipts</w:t>
            </w:r>
          </w:p>
        </w:tc>
        <w:tc>
          <w:tcPr>
            <w:tcW w:w="1431" w:type="dxa"/>
          </w:tcPr>
          <w:p w14:paraId="1370C136" w14:textId="38DEB6E8" w:rsidR="00DC4E69" w:rsidRDefault="00DC4E69" w:rsidP="00174D00">
            <w:r>
              <w:t>1,667</w:t>
            </w:r>
          </w:p>
        </w:tc>
        <w:tc>
          <w:tcPr>
            <w:tcW w:w="1350" w:type="dxa"/>
          </w:tcPr>
          <w:p w14:paraId="67B0F368" w14:textId="40B8C7D6" w:rsidR="00DC4E69" w:rsidRDefault="00DC4E69">
            <w:r>
              <w:t>2,526</w:t>
            </w:r>
          </w:p>
        </w:tc>
        <w:tc>
          <w:tcPr>
            <w:tcW w:w="1242" w:type="dxa"/>
          </w:tcPr>
          <w:p w14:paraId="0A76CA5E" w14:textId="22C48B3E" w:rsidR="00DC4E69" w:rsidRDefault="00DC4E69" w:rsidP="00270531">
            <w:r>
              <w:t>859</w:t>
            </w:r>
          </w:p>
        </w:tc>
        <w:tc>
          <w:tcPr>
            <w:tcW w:w="1378" w:type="dxa"/>
          </w:tcPr>
          <w:p w14:paraId="0A3E3166" w14:textId="3D274524" w:rsidR="00DC4E69" w:rsidRDefault="00DC4E69" w:rsidP="00724260">
            <w:r>
              <w:t>51.5%</w:t>
            </w:r>
          </w:p>
        </w:tc>
        <w:tc>
          <w:tcPr>
            <w:tcW w:w="2252" w:type="dxa"/>
          </w:tcPr>
          <w:p w14:paraId="0EF9C0D8" w14:textId="2907D76C" w:rsidR="00DC4E69" w:rsidRDefault="008D03DE" w:rsidP="00174D00">
            <w:r>
              <w:t>In 2020/21 we received a grant of £1,000 which went towards the construction of a new path to the play</w:t>
            </w:r>
            <w:r w:rsidR="00BD0F20">
              <w:t xml:space="preserve"> </w:t>
            </w:r>
            <w:r>
              <w:t>area.  In 2019/20 we had not received a grant</w:t>
            </w:r>
            <w:r w:rsidR="00BD0F20">
              <w:t>.</w:t>
            </w:r>
          </w:p>
        </w:tc>
      </w:tr>
      <w:tr w:rsidR="0079075B" w14:paraId="1C9D66D7" w14:textId="77777777" w:rsidTr="001E2C82">
        <w:tc>
          <w:tcPr>
            <w:tcW w:w="1363" w:type="dxa"/>
          </w:tcPr>
          <w:p w14:paraId="1C9D66D1" w14:textId="2885786A" w:rsidR="00270531" w:rsidRDefault="00270531" w:rsidP="00BB60B0">
            <w:r>
              <w:t xml:space="preserve">Box </w:t>
            </w:r>
            <w:r w:rsidR="00167A8E">
              <w:t>4</w:t>
            </w:r>
            <w:r w:rsidR="006A124E">
              <w:t xml:space="preserve"> </w:t>
            </w:r>
            <w:r w:rsidR="00336A42">
              <w:t>staff costs</w:t>
            </w:r>
          </w:p>
        </w:tc>
        <w:tc>
          <w:tcPr>
            <w:tcW w:w="1431" w:type="dxa"/>
          </w:tcPr>
          <w:p w14:paraId="1C9D66D2" w14:textId="6A7BA160" w:rsidR="00270531" w:rsidRDefault="000D1F93" w:rsidP="00174D00">
            <w:r>
              <w:t>1,353</w:t>
            </w:r>
          </w:p>
        </w:tc>
        <w:tc>
          <w:tcPr>
            <w:tcW w:w="1350" w:type="dxa"/>
          </w:tcPr>
          <w:p w14:paraId="1C9D66D3" w14:textId="2A4996F0" w:rsidR="00270531" w:rsidRDefault="000D1F93">
            <w:r>
              <w:t>1,151</w:t>
            </w:r>
          </w:p>
        </w:tc>
        <w:tc>
          <w:tcPr>
            <w:tcW w:w="1242" w:type="dxa"/>
          </w:tcPr>
          <w:p w14:paraId="1C9D66D4" w14:textId="14DBD5DF" w:rsidR="00270531" w:rsidRDefault="008462BE" w:rsidP="00270531">
            <w:r>
              <w:t>202</w:t>
            </w:r>
          </w:p>
        </w:tc>
        <w:tc>
          <w:tcPr>
            <w:tcW w:w="1378" w:type="dxa"/>
          </w:tcPr>
          <w:p w14:paraId="1C9D66D5" w14:textId="14F35BD3" w:rsidR="00270531" w:rsidRDefault="008462BE" w:rsidP="00724260">
            <w:r>
              <w:t>17</w:t>
            </w:r>
            <w:r w:rsidR="00B37A8A">
              <w:t>.5</w:t>
            </w:r>
            <w:r w:rsidR="00174D00">
              <w:t>%</w:t>
            </w:r>
          </w:p>
        </w:tc>
        <w:tc>
          <w:tcPr>
            <w:tcW w:w="2252" w:type="dxa"/>
          </w:tcPr>
          <w:p w14:paraId="1C9D66D6" w14:textId="3C3786D0" w:rsidR="00270531" w:rsidRDefault="008462BE" w:rsidP="00174D00">
            <w:r>
              <w:t xml:space="preserve">In 2019/20 </w:t>
            </w:r>
            <w:r w:rsidR="00C13412">
              <w:t xml:space="preserve">there </w:t>
            </w:r>
            <w:proofErr w:type="gramStart"/>
            <w:r w:rsidR="00C13412">
              <w:t xml:space="preserve">were </w:t>
            </w:r>
            <w:r w:rsidR="00DD34AA">
              <w:t xml:space="preserve"> additional</w:t>
            </w:r>
            <w:proofErr w:type="gramEnd"/>
            <w:r w:rsidR="00DD34AA">
              <w:t xml:space="preserve"> costs related to increased hours </w:t>
            </w:r>
            <w:r w:rsidR="008D14E0">
              <w:t xml:space="preserve">connected with additional </w:t>
            </w:r>
            <w:r w:rsidR="006B592B">
              <w:t>administration</w:t>
            </w:r>
            <w:r w:rsidR="008D14E0">
              <w:t xml:space="preserve"> such as the need to move to a new website server, the </w:t>
            </w:r>
            <w:r w:rsidR="006B592B">
              <w:t>parish</w:t>
            </w:r>
            <w:r w:rsidR="008D14E0">
              <w:t xml:space="preserve"> plan and </w:t>
            </w:r>
            <w:r w:rsidR="00D60449">
              <w:t xml:space="preserve">title investigations and </w:t>
            </w:r>
            <w:r w:rsidR="006B592B">
              <w:t>negotiation</w:t>
            </w:r>
            <w:r w:rsidR="00D60449">
              <w:t xml:space="preserve"> of a new lease of the village hall with BDC</w:t>
            </w:r>
            <w:r w:rsidR="00C13412">
              <w:t>.  This has not arisen in 2020/21 with a consequent saving in cost.</w:t>
            </w:r>
          </w:p>
        </w:tc>
      </w:tr>
      <w:tr w:rsidR="007235E8" w14:paraId="56D03099" w14:textId="77777777" w:rsidTr="001E2C82">
        <w:tc>
          <w:tcPr>
            <w:tcW w:w="1363" w:type="dxa"/>
          </w:tcPr>
          <w:p w14:paraId="072D42C3" w14:textId="1870679D" w:rsidR="007235E8" w:rsidRDefault="007235E8" w:rsidP="007235E8">
            <w:r>
              <w:t>Box 6 other payments</w:t>
            </w:r>
          </w:p>
        </w:tc>
        <w:tc>
          <w:tcPr>
            <w:tcW w:w="1431" w:type="dxa"/>
          </w:tcPr>
          <w:p w14:paraId="6E66F0F4" w14:textId="298FE5B2" w:rsidR="007235E8" w:rsidRDefault="007235E8" w:rsidP="007235E8">
            <w:r>
              <w:t>6,836</w:t>
            </w:r>
          </w:p>
        </w:tc>
        <w:tc>
          <w:tcPr>
            <w:tcW w:w="1350" w:type="dxa"/>
          </w:tcPr>
          <w:p w14:paraId="7E36B0BB" w14:textId="451C46FC" w:rsidR="007235E8" w:rsidRDefault="00071B57" w:rsidP="007235E8">
            <w:r>
              <w:t>9,415</w:t>
            </w:r>
          </w:p>
        </w:tc>
        <w:tc>
          <w:tcPr>
            <w:tcW w:w="1242" w:type="dxa"/>
          </w:tcPr>
          <w:p w14:paraId="1326EBF3" w14:textId="4E1EAA64" w:rsidR="007235E8" w:rsidRDefault="00071B57" w:rsidP="007235E8">
            <w:r>
              <w:t>2,579</w:t>
            </w:r>
          </w:p>
        </w:tc>
        <w:tc>
          <w:tcPr>
            <w:tcW w:w="1378" w:type="dxa"/>
          </w:tcPr>
          <w:p w14:paraId="5736800D" w14:textId="58F9FDE3" w:rsidR="007235E8" w:rsidRDefault="007235E8" w:rsidP="007235E8">
            <w:r>
              <w:t>37.7%</w:t>
            </w:r>
          </w:p>
        </w:tc>
        <w:tc>
          <w:tcPr>
            <w:tcW w:w="2252" w:type="dxa"/>
          </w:tcPr>
          <w:p w14:paraId="6897581D" w14:textId="5840E2E9" w:rsidR="00071B57" w:rsidRDefault="00EA7E2F" w:rsidP="007235E8">
            <w:r>
              <w:t xml:space="preserve">In 2020/21 </w:t>
            </w:r>
            <w:r w:rsidR="00945A9D">
              <w:t xml:space="preserve">BDC changed their timing for invoicing for our playing field maintenance </w:t>
            </w:r>
            <w:proofErr w:type="gramStart"/>
            <w:r w:rsidR="00945A9D">
              <w:t xml:space="preserve">contract </w:t>
            </w:r>
            <w:r w:rsidR="00DB352A">
              <w:t>.</w:t>
            </w:r>
            <w:proofErr w:type="gramEnd"/>
            <w:r w:rsidR="00DB352A">
              <w:t xml:space="preserve">  While previously we had paid in arrears in May, this was changed to require payment in J</w:t>
            </w:r>
            <w:r w:rsidR="00856F3F">
              <w:t xml:space="preserve">uly of the contract year.  As a </w:t>
            </w:r>
            <w:proofErr w:type="gramStart"/>
            <w:r w:rsidR="00856F3F">
              <w:t>result</w:t>
            </w:r>
            <w:proofErr w:type="gramEnd"/>
            <w:r w:rsidR="00856F3F">
              <w:t xml:space="preserve"> in </w:t>
            </w:r>
            <w:r w:rsidR="00856F3F">
              <w:lastRenderedPageBreak/>
              <w:t xml:space="preserve">2020/21 we incurred </w:t>
            </w:r>
            <w:r w:rsidR="00026C06">
              <w:t xml:space="preserve">two </w:t>
            </w:r>
            <w:r w:rsidR="00E86B19">
              <w:t>charges</w:t>
            </w:r>
            <w:r w:rsidR="00026C06">
              <w:t xml:space="preserve"> one for ££1,907.38 for 201</w:t>
            </w:r>
            <w:r w:rsidR="00DE52DA">
              <w:t>9/20 and one of £1,800.88 for 2020/21.</w:t>
            </w:r>
            <w:r w:rsidR="00C636F7">
              <w:t xml:space="preserve">  There was also the cost of £1,500 for constructing the new path to the play area.</w:t>
            </w:r>
            <w:r w:rsidR="00E07AF6">
              <w:t xml:space="preserve">  This more than explained the increase in other costs for this year</w:t>
            </w:r>
            <w:r w:rsidR="00240DDD">
              <w:t>, although there was some saving on other costs such as in 2019/20 we had acquired a new picnic table.</w:t>
            </w:r>
          </w:p>
          <w:p w14:paraId="60DB4418" w14:textId="6AE6BAA4" w:rsidR="007235E8" w:rsidRDefault="007235E8" w:rsidP="007235E8"/>
        </w:tc>
      </w:tr>
      <w:tr w:rsidR="007235E8" w14:paraId="70AE3D01" w14:textId="77777777" w:rsidTr="001E2C82">
        <w:tc>
          <w:tcPr>
            <w:tcW w:w="1363" w:type="dxa"/>
          </w:tcPr>
          <w:p w14:paraId="02C4A30B" w14:textId="6F2E3642" w:rsidR="007235E8" w:rsidRDefault="007235E8" w:rsidP="007235E8">
            <w:r>
              <w:lastRenderedPageBreak/>
              <w:t>Box 8 Balances carried forward</w:t>
            </w:r>
          </w:p>
        </w:tc>
        <w:tc>
          <w:tcPr>
            <w:tcW w:w="1431" w:type="dxa"/>
          </w:tcPr>
          <w:p w14:paraId="4CAF7E44" w14:textId="12FAE315" w:rsidR="007235E8" w:rsidRDefault="007235E8" w:rsidP="007235E8">
            <w:r>
              <w:t>10,531</w:t>
            </w:r>
          </w:p>
        </w:tc>
        <w:tc>
          <w:tcPr>
            <w:tcW w:w="1350" w:type="dxa"/>
          </w:tcPr>
          <w:p w14:paraId="038BC310" w14:textId="73DBFA49" w:rsidR="007235E8" w:rsidRDefault="007235E8" w:rsidP="007235E8">
            <w:r>
              <w:t>8,593</w:t>
            </w:r>
          </w:p>
        </w:tc>
        <w:tc>
          <w:tcPr>
            <w:tcW w:w="1242" w:type="dxa"/>
          </w:tcPr>
          <w:p w14:paraId="23C6E474" w14:textId="591DA845" w:rsidR="007235E8" w:rsidRDefault="007235E8" w:rsidP="007235E8">
            <w:r>
              <w:t>1,938</w:t>
            </w:r>
          </w:p>
        </w:tc>
        <w:tc>
          <w:tcPr>
            <w:tcW w:w="1378" w:type="dxa"/>
          </w:tcPr>
          <w:p w14:paraId="2036ECFE" w14:textId="03A4EAE0" w:rsidR="007235E8" w:rsidRDefault="007235E8" w:rsidP="007235E8">
            <w:r>
              <w:t>-18.5%</w:t>
            </w:r>
          </w:p>
        </w:tc>
        <w:tc>
          <w:tcPr>
            <w:tcW w:w="2252" w:type="dxa"/>
          </w:tcPr>
          <w:p w14:paraId="762E7E3F" w14:textId="7E1F8CBB" w:rsidR="007235E8" w:rsidRDefault="007235E8" w:rsidP="007235E8">
            <w:r>
              <w:t>In addition to the additional costs set out above, in 2018/9 a transparency grant of £258 was received from BDC.  This was discontinued in 2019/20.</w:t>
            </w:r>
          </w:p>
        </w:tc>
      </w:tr>
      <w:tr w:rsidR="007235E8" w14:paraId="0082DE0C" w14:textId="77777777" w:rsidTr="001E2C82">
        <w:tc>
          <w:tcPr>
            <w:tcW w:w="1363" w:type="dxa"/>
          </w:tcPr>
          <w:p w14:paraId="0FBFF20E" w14:textId="2A5D0B06" w:rsidR="007235E8" w:rsidRDefault="007235E8" w:rsidP="007235E8">
            <w:r>
              <w:t xml:space="preserve">Box 8 total value of cash and </w:t>
            </w:r>
            <w:proofErr w:type="gramStart"/>
            <w:r>
              <w:t>short term</w:t>
            </w:r>
            <w:proofErr w:type="gramEnd"/>
            <w:r>
              <w:t xml:space="preserve"> investments</w:t>
            </w:r>
          </w:p>
        </w:tc>
        <w:tc>
          <w:tcPr>
            <w:tcW w:w="1431" w:type="dxa"/>
          </w:tcPr>
          <w:p w14:paraId="51B5B92F" w14:textId="3C818405" w:rsidR="007235E8" w:rsidRDefault="007235E8" w:rsidP="007235E8">
            <w:r>
              <w:t>10,531</w:t>
            </w:r>
          </w:p>
        </w:tc>
        <w:tc>
          <w:tcPr>
            <w:tcW w:w="1350" w:type="dxa"/>
          </w:tcPr>
          <w:p w14:paraId="438E1F75" w14:textId="43E6830A" w:rsidR="007235E8" w:rsidRDefault="007235E8" w:rsidP="007235E8">
            <w:r>
              <w:t>8,593</w:t>
            </w:r>
          </w:p>
        </w:tc>
        <w:tc>
          <w:tcPr>
            <w:tcW w:w="1242" w:type="dxa"/>
          </w:tcPr>
          <w:p w14:paraId="3E59AE1C" w14:textId="2EB60B64" w:rsidR="007235E8" w:rsidRDefault="007235E8" w:rsidP="007235E8">
            <w:r>
              <w:t>1,938</w:t>
            </w:r>
          </w:p>
        </w:tc>
        <w:tc>
          <w:tcPr>
            <w:tcW w:w="1378" w:type="dxa"/>
          </w:tcPr>
          <w:p w14:paraId="11794383" w14:textId="7C52859F" w:rsidR="007235E8" w:rsidRDefault="00B0423E" w:rsidP="00B0423E">
            <w:r>
              <w:t>-27%</w:t>
            </w:r>
          </w:p>
        </w:tc>
        <w:tc>
          <w:tcPr>
            <w:tcW w:w="2252" w:type="dxa"/>
          </w:tcPr>
          <w:p w14:paraId="741FBC2C" w14:textId="52CB7BDC" w:rsidR="007235E8" w:rsidRDefault="007235E8" w:rsidP="007235E8">
            <w:r>
              <w:t xml:space="preserve">This comprises the </w:t>
            </w:r>
            <w:proofErr w:type="gramStart"/>
            <w:r>
              <w:t>moneys  in</w:t>
            </w:r>
            <w:proofErr w:type="gramEnd"/>
            <w:r>
              <w:t xml:space="preserve"> the Council’s bank account and hence the change is wholly accounted for by the variances as explained above.</w:t>
            </w:r>
          </w:p>
        </w:tc>
      </w:tr>
    </w:tbl>
    <w:p w14:paraId="1C9D66D8" w14:textId="77777777" w:rsidR="00BB60B0" w:rsidRDefault="00BB60B0"/>
    <w:p w14:paraId="1C9D66D9" w14:textId="77777777" w:rsidR="00A45F98" w:rsidRDefault="00A45F98"/>
    <w:p w14:paraId="1C9D66DA" w14:textId="77777777" w:rsidR="006111DB" w:rsidRDefault="006111DB"/>
    <w:p w14:paraId="1C9D66DB" w14:textId="77777777" w:rsidR="00D07C14" w:rsidRDefault="00D07C14"/>
    <w:sectPr w:rsidR="00D07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756C5"/>
    <w:multiLevelType w:val="hybridMultilevel"/>
    <w:tmpl w:val="7DEA163E"/>
    <w:lvl w:ilvl="0" w:tplc="D56AE3D8">
      <w:start w:val="3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40740"/>
    <w:multiLevelType w:val="hybridMultilevel"/>
    <w:tmpl w:val="903E13BA"/>
    <w:lvl w:ilvl="0" w:tplc="B6AEE4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33C45"/>
    <w:multiLevelType w:val="hybridMultilevel"/>
    <w:tmpl w:val="149AAF00"/>
    <w:lvl w:ilvl="0" w:tplc="B156E7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C746E"/>
    <w:multiLevelType w:val="hybridMultilevel"/>
    <w:tmpl w:val="FD400CE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4A5"/>
    <w:rsid w:val="00026C06"/>
    <w:rsid w:val="00033926"/>
    <w:rsid w:val="00071B57"/>
    <w:rsid w:val="00091551"/>
    <w:rsid w:val="00097626"/>
    <w:rsid w:val="000D1F93"/>
    <w:rsid w:val="00152F23"/>
    <w:rsid w:val="00167A8E"/>
    <w:rsid w:val="00174D00"/>
    <w:rsid w:val="00175092"/>
    <w:rsid w:val="001948CD"/>
    <w:rsid w:val="001B0A43"/>
    <w:rsid w:val="001D697C"/>
    <w:rsid w:val="001E2C82"/>
    <w:rsid w:val="002231AF"/>
    <w:rsid w:val="00240DDD"/>
    <w:rsid w:val="00241756"/>
    <w:rsid w:val="00264E19"/>
    <w:rsid w:val="00270531"/>
    <w:rsid w:val="002C136F"/>
    <w:rsid w:val="002D116C"/>
    <w:rsid w:val="002E5E68"/>
    <w:rsid w:val="002F786B"/>
    <w:rsid w:val="00336A42"/>
    <w:rsid w:val="003B22AA"/>
    <w:rsid w:val="00426DBF"/>
    <w:rsid w:val="00461803"/>
    <w:rsid w:val="004A7761"/>
    <w:rsid w:val="004E128E"/>
    <w:rsid w:val="00502D0C"/>
    <w:rsid w:val="0057021F"/>
    <w:rsid w:val="0057242F"/>
    <w:rsid w:val="006111DB"/>
    <w:rsid w:val="0061249A"/>
    <w:rsid w:val="00622F75"/>
    <w:rsid w:val="006922F8"/>
    <w:rsid w:val="00697A33"/>
    <w:rsid w:val="006A124E"/>
    <w:rsid w:val="006A670D"/>
    <w:rsid w:val="006B592B"/>
    <w:rsid w:val="006C5AC7"/>
    <w:rsid w:val="006D7FC7"/>
    <w:rsid w:val="006E5B0D"/>
    <w:rsid w:val="007235E8"/>
    <w:rsid w:val="00724260"/>
    <w:rsid w:val="0076411A"/>
    <w:rsid w:val="00790003"/>
    <w:rsid w:val="0079075B"/>
    <w:rsid w:val="00791EFE"/>
    <w:rsid w:val="007A04E4"/>
    <w:rsid w:val="007E0760"/>
    <w:rsid w:val="007F64F5"/>
    <w:rsid w:val="00806CC5"/>
    <w:rsid w:val="008336FC"/>
    <w:rsid w:val="008462BE"/>
    <w:rsid w:val="00856F3F"/>
    <w:rsid w:val="00865534"/>
    <w:rsid w:val="00865C7B"/>
    <w:rsid w:val="00871468"/>
    <w:rsid w:val="00887BA4"/>
    <w:rsid w:val="008A76ED"/>
    <w:rsid w:val="008B2F09"/>
    <w:rsid w:val="008C2C2B"/>
    <w:rsid w:val="008D03DE"/>
    <w:rsid w:val="008D14E0"/>
    <w:rsid w:val="008F2E70"/>
    <w:rsid w:val="00904544"/>
    <w:rsid w:val="00945A9D"/>
    <w:rsid w:val="0096175B"/>
    <w:rsid w:val="009A03D1"/>
    <w:rsid w:val="009A04A5"/>
    <w:rsid w:val="009E23D8"/>
    <w:rsid w:val="009E28A8"/>
    <w:rsid w:val="00A14999"/>
    <w:rsid w:val="00A17129"/>
    <w:rsid w:val="00A45F98"/>
    <w:rsid w:val="00AA0E74"/>
    <w:rsid w:val="00AE5E20"/>
    <w:rsid w:val="00AF4D9A"/>
    <w:rsid w:val="00B0423E"/>
    <w:rsid w:val="00B171DA"/>
    <w:rsid w:val="00B25AD6"/>
    <w:rsid w:val="00B37A8A"/>
    <w:rsid w:val="00B47A1C"/>
    <w:rsid w:val="00B65C1F"/>
    <w:rsid w:val="00B66762"/>
    <w:rsid w:val="00B950DB"/>
    <w:rsid w:val="00B9694D"/>
    <w:rsid w:val="00BA1567"/>
    <w:rsid w:val="00BB60B0"/>
    <w:rsid w:val="00BD0F20"/>
    <w:rsid w:val="00BE0CAA"/>
    <w:rsid w:val="00BF4C3B"/>
    <w:rsid w:val="00C13412"/>
    <w:rsid w:val="00C21744"/>
    <w:rsid w:val="00C27B52"/>
    <w:rsid w:val="00C40F77"/>
    <w:rsid w:val="00C43E5A"/>
    <w:rsid w:val="00C44A79"/>
    <w:rsid w:val="00C636F7"/>
    <w:rsid w:val="00C773F1"/>
    <w:rsid w:val="00C94BFC"/>
    <w:rsid w:val="00CB3DA7"/>
    <w:rsid w:val="00CB5D83"/>
    <w:rsid w:val="00CB791C"/>
    <w:rsid w:val="00CB7B5B"/>
    <w:rsid w:val="00CC109B"/>
    <w:rsid w:val="00CF736C"/>
    <w:rsid w:val="00D07C14"/>
    <w:rsid w:val="00D10EE1"/>
    <w:rsid w:val="00D47D9C"/>
    <w:rsid w:val="00D60449"/>
    <w:rsid w:val="00D660FE"/>
    <w:rsid w:val="00DB352A"/>
    <w:rsid w:val="00DC4E69"/>
    <w:rsid w:val="00DD34AA"/>
    <w:rsid w:val="00DE0A0E"/>
    <w:rsid w:val="00DE52DA"/>
    <w:rsid w:val="00E07AF6"/>
    <w:rsid w:val="00E27EDB"/>
    <w:rsid w:val="00E41A6E"/>
    <w:rsid w:val="00E65A5A"/>
    <w:rsid w:val="00E86B19"/>
    <w:rsid w:val="00EA7E2F"/>
    <w:rsid w:val="00F21CEA"/>
    <w:rsid w:val="00FA7CE0"/>
    <w:rsid w:val="00FE27BB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D66C3"/>
  <w15:docId w15:val="{15075C83-D960-47B2-97DB-B1B5EE52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60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Purchas</dc:creator>
  <cp:lastModifiedBy>Karen M-R</cp:lastModifiedBy>
  <cp:revision>2</cp:revision>
  <cp:lastPrinted>2018-04-13T23:01:00Z</cp:lastPrinted>
  <dcterms:created xsi:type="dcterms:W3CDTF">2021-05-19T09:29:00Z</dcterms:created>
  <dcterms:modified xsi:type="dcterms:W3CDTF">2021-05-19T09:29:00Z</dcterms:modified>
</cp:coreProperties>
</file>